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B0C" w:rsidRPr="00503B0C" w:rsidRDefault="00702D45" w:rsidP="000628F3">
      <w:pPr>
        <w:spacing w:after="120"/>
        <w:jc w:val="center"/>
        <w:rPr>
          <w:b/>
          <w:sz w:val="26"/>
        </w:rPr>
      </w:pPr>
      <w:r>
        <w:rPr>
          <w:b/>
          <w:sz w:val="26"/>
        </w:rPr>
        <w:t xml:space="preserve">The </w:t>
      </w:r>
      <w:r w:rsidR="0037450C">
        <w:rPr>
          <w:b/>
          <w:sz w:val="26"/>
        </w:rPr>
        <w:t xml:space="preserve">Impact of the </w:t>
      </w:r>
      <w:r w:rsidR="00DF75EA">
        <w:rPr>
          <w:b/>
          <w:sz w:val="26"/>
        </w:rPr>
        <w:t>G</w:t>
      </w:r>
      <w:r w:rsidR="00086A1F">
        <w:rPr>
          <w:b/>
          <w:sz w:val="26"/>
        </w:rPr>
        <w:t xml:space="preserve">lobal </w:t>
      </w:r>
      <w:r w:rsidR="00DF75EA">
        <w:rPr>
          <w:b/>
          <w:sz w:val="26"/>
        </w:rPr>
        <w:t>C</w:t>
      </w:r>
      <w:r w:rsidR="00FD4191">
        <w:rPr>
          <w:b/>
          <w:sz w:val="26"/>
        </w:rPr>
        <w:t xml:space="preserve">ommodity and </w:t>
      </w:r>
      <w:r w:rsidR="00DF75EA">
        <w:rPr>
          <w:b/>
          <w:sz w:val="26"/>
        </w:rPr>
        <w:t>F</w:t>
      </w:r>
      <w:r w:rsidR="00503B0C" w:rsidRPr="00503B0C">
        <w:rPr>
          <w:b/>
          <w:sz w:val="26"/>
        </w:rPr>
        <w:t xml:space="preserve">inancial </w:t>
      </w:r>
      <w:r w:rsidR="00DF75EA">
        <w:rPr>
          <w:b/>
          <w:sz w:val="26"/>
        </w:rPr>
        <w:t>C</w:t>
      </w:r>
      <w:r w:rsidR="00503B0C" w:rsidRPr="00503B0C">
        <w:rPr>
          <w:b/>
          <w:sz w:val="26"/>
        </w:rPr>
        <w:t>ris</w:t>
      </w:r>
      <w:r w:rsidR="00FD4191">
        <w:rPr>
          <w:b/>
          <w:sz w:val="26"/>
        </w:rPr>
        <w:t>e</w:t>
      </w:r>
      <w:r w:rsidR="00503B0C" w:rsidRPr="00503B0C">
        <w:rPr>
          <w:b/>
          <w:sz w:val="26"/>
        </w:rPr>
        <w:t xml:space="preserve">s </w:t>
      </w:r>
      <w:r w:rsidR="007965C5">
        <w:rPr>
          <w:b/>
          <w:sz w:val="26"/>
        </w:rPr>
        <w:t xml:space="preserve">on </w:t>
      </w:r>
      <w:r w:rsidR="00DF75EA">
        <w:rPr>
          <w:b/>
          <w:sz w:val="26"/>
        </w:rPr>
        <w:t>P</w:t>
      </w:r>
      <w:r w:rsidR="00503B0C" w:rsidRPr="00503B0C">
        <w:rPr>
          <w:b/>
          <w:sz w:val="26"/>
        </w:rPr>
        <w:t>overty in Vietnam</w:t>
      </w:r>
    </w:p>
    <w:p w:rsidR="00A5744C" w:rsidRDefault="00A5744C">
      <w:pPr>
        <w:spacing w:after="120"/>
        <w:ind w:right="720"/>
        <w:rPr>
          <w:b/>
        </w:rPr>
      </w:pPr>
    </w:p>
    <w:p w:rsidR="00C63411" w:rsidRPr="00AB7004" w:rsidRDefault="00C00E15" w:rsidP="00C00E15">
      <w:pPr>
        <w:spacing w:after="120"/>
        <w:ind w:right="720"/>
        <w:jc w:val="center"/>
      </w:pPr>
      <w:r>
        <w:t xml:space="preserve">James </w:t>
      </w:r>
      <w:proofErr w:type="spellStart"/>
      <w:r>
        <w:t>Thurlow</w:t>
      </w:r>
      <w:r w:rsidR="00807BFD">
        <w:rPr>
          <w:vertAlign w:val="superscript"/>
        </w:rPr>
        <w:t>a,b</w:t>
      </w:r>
      <w:proofErr w:type="spellEnd"/>
      <w:r w:rsidR="00065019">
        <w:t>,</w:t>
      </w:r>
      <w:r w:rsidR="00065019" w:rsidRPr="00065019">
        <w:t xml:space="preserve"> </w:t>
      </w:r>
      <w:r w:rsidR="00065019">
        <w:t xml:space="preserve">Finn </w:t>
      </w:r>
      <w:proofErr w:type="spellStart"/>
      <w:r w:rsidR="00065019">
        <w:t>Tarp</w:t>
      </w:r>
      <w:r w:rsidR="00065019">
        <w:rPr>
          <w:vertAlign w:val="superscript"/>
        </w:rPr>
        <w:t>a</w:t>
      </w:r>
      <w:proofErr w:type="spellEnd"/>
      <w:r w:rsidR="00065019">
        <w:t>,</w:t>
      </w:r>
      <w:r>
        <w:t xml:space="preserve"> </w:t>
      </w:r>
      <w:r w:rsidR="00065019">
        <w:t xml:space="preserve">Simon </w:t>
      </w:r>
      <w:proofErr w:type="spellStart"/>
      <w:r w:rsidR="00065019">
        <w:t>McCoy</w:t>
      </w:r>
      <w:r w:rsidR="00065019">
        <w:rPr>
          <w:vertAlign w:val="superscript"/>
        </w:rPr>
        <w:t>a</w:t>
      </w:r>
      <w:proofErr w:type="spellEnd"/>
      <w:r w:rsidR="00AB7004">
        <w:t>,</w:t>
      </w:r>
    </w:p>
    <w:p w:rsidR="00C00E15" w:rsidRPr="00065019" w:rsidRDefault="00C8746D" w:rsidP="00C00E15">
      <w:pPr>
        <w:spacing w:after="120"/>
        <w:ind w:right="720"/>
        <w:jc w:val="center"/>
      </w:pPr>
      <w:r>
        <w:t xml:space="preserve">Nguyen </w:t>
      </w:r>
      <w:proofErr w:type="spellStart"/>
      <w:r>
        <w:t>Manh</w:t>
      </w:r>
      <w:proofErr w:type="spellEnd"/>
      <w:r>
        <w:t xml:space="preserve"> </w:t>
      </w:r>
      <w:proofErr w:type="spellStart"/>
      <w:r>
        <w:t>Hai</w:t>
      </w:r>
      <w:r w:rsidR="00807BFD">
        <w:rPr>
          <w:vertAlign w:val="superscript"/>
        </w:rPr>
        <w:t>c</w:t>
      </w:r>
      <w:proofErr w:type="spellEnd"/>
      <w:r>
        <w:t>,</w:t>
      </w:r>
      <w:r w:rsidR="00065019">
        <w:t xml:space="preserve"> Clemens </w:t>
      </w:r>
      <w:proofErr w:type="spellStart"/>
      <w:r w:rsidR="00065019">
        <w:t>Breisinger</w:t>
      </w:r>
      <w:r w:rsidR="00065019">
        <w:rPr>
          <w:vertAlign w:val="superscript"/>
        </w:rPr>
        <w:t>b</w:t>
      </w:r>
      <w:proofErr w:type="spellEnd"/>
      <w:r w:rsidR="00AB7004">
        <w:t>,</w:t>
      </w:r>
      <w:r>
        <w:t xml:space="preserve"> </w:t>
      </w:r>
      <w:r w:rsidR="00C00E15">
        <w:t>and</w:t>
      </w:r>
      <w:r w:rsidR="00065019">
        <w:t xml:space="preserve"> Channing </w:t>
      </w:r>
      <w:proofErr w:type="spellStart"/>
      <w:r w:rsidR="00065019">
        <w:t>Arndt</w:t>
      </w:r>
      <w:r w:rsidR="00065019">
        <w:rPr>
          <w:vertAlign w:val="superscript"/>
        </w:rPr>
        <w:t>a</w:t>
      </w:r>
      <w:proofErr w:type="spellEnd"/>
    </w:p>
    <w:p w:rsidR="00C00E15" w:rsidRDefault="00C00E15" w:rsidP="00C00E15">
      <w:pPr>
        <w:spacing w:after="120"/>
        <w:ind w:right="720"/>
        <w:jc w:val="center"/>
      </w:pPr>
    </w:p>
    <w:p w:rsidR="00C00E15" w:rsidRDefault="00807BFD" w:rsidP="00C00E15">
      <w:pPr>
        <w:spacing w:after="120"/>
        <w:ind w:right="720"/>
        <w:jc w:val="center"/>
      </w:pPr>
      <w:r>
        <w:rPr>
          <w:vertAlign w:val="superscript"/>
        </w:rPr>
        <w:t>a</w:t>
      </w:r>
      <w:r w:rsidR="00C00E15">
        <w:rPr>
          <w:vertAlign w:val="superscript"/>
        </w:rPr>
        <w:t xml:space="preserve"> </w:t>
      </w:r>
      <w:r w:rsidR="00C00E15" w:rsidRPr="00C00E15">
        <w:rPr>
          <w:i/>
        </w:rPr>
        <w:t>Department of Economics, University of Copenhagen, Denmark</w:t>
      </w:r>
    </w:p>
    <w:p w:rsidR="00C00E15" w:rsidRDefault="00807BFD" w:rsidP="00C00E15">
      <w:pPr>
        <w:spacing w:after="120"/>
        <w:ind w:right="720"/>
        <w:jc w:val="center"/>
      </w:pPr>
      <w:r>
        <w:rPr>
          <w:vertAlign w:val="superscript"/>
        </w:rPr>
        <w:t>b</w:t>
      </w:r>
      <w:r w:rsidR="00C00E15">
        <w:rPr>
          <w:vertAlign w:val="superscript"/>
        </w:rPr>
        <w:t xml:space="preserve"> </w:t>
      </w:r>
      <w:r w:rsidR="00C00E15" w:rsidRPr="00C00E15">
        <w:rPr>
          <w:i/>
        </w:rPr>
        <w:t>International Food Policy Research Institute, Washington D.C.</w:t>
      </w:r>
      <w:r w:rsidR="00D92939">
        <w:rPr>
          <w:i/>
        </w:rPr>
        <w:t>, USA</w:t>
      </w:r>
      <w:r w:rsidR="00C00E15" w:rsidRPr="00C00E15">
        <w:rPr>
          <w:i/>
        </w:rPr>
        <w:t xml:space="preserve"> </w:t>
      </w:r>
    </w:p>
    <w:p w:rsidR="00C00E15" w:rsidRPr="00C00E15" w:rsidRDefault="00807BFD" w:rsidP="00C00E15">
      <w:pPr>
        <w:spacing w:after="120"/>
        <w:ind w:right="720"/>
        <w:jc w:val="center"/>
      </w:pPr>
      <w:r>
        <w:rPr>
          <w:vertAlign w:val="superscript"/>
        </w:rPr>
        <w:t>c</w:t>
      </w:r>
      <w:r w:rsidR="00C00E15">
        <w:rPr>
          <w:vertAlign w:val="superscript"/>
        </w:rPr>
        <w:t xml:space="preserve"> </w:t>
      </w:r>
      <w:r w:rsidR="00C00E15" w:rsidRPr="00C00E15">
        <w:rPr>
          <w:i/>
        </w:rPr>
        <w:t>Central Institute of Economic Management, Hanoi</w:t>
      </w:r>
      <w:r w:rsidR="00D92939">
        <w:rPr>
          <w:i/>
        </w:rPr>
        <w:t>, Vietnam</w:t>
      </w:r>
      <w:r w:rsidR="00C00E15" w:rsidRPr="00C00E15">
        <w:rPr>
          <w:i/>
        </w:rPr>
        <w:t xml:space="preserve"> </w:t>
      </w:r>
    </w:p>
    <w:p w:rsidR="00C00E15" w:rsidRDefault="00C00E15">
      <w:pPr>
        <w:spacing w:after="120"/>
        <w:ind w:right="720"/>
        <w:rPr>
          <w:b/>
        </w:rPr>
      </w:pPr>
    </w:p>
    <w:p w:rsidR="00A5744C" w:rsidRDefault="00A5744C">
      <w:pPr>
        <w:spacing w:after="120"/>
        <w:ind w:right="720"/>
        <w:jc w:val="center"/>
        <w:rPr>
          <w:b/>
        </w:rPr>
      </w:pPr>
    </w:p>
    <w:p w:rsidR="009969C3" w:rsidRDefault="009969C3">
      <w:pPr>
        <w:spacing w:after="120"/>
        <w:ind w:right="720"/>
        <w:jc w:val="center"/>
        <w:rPr>
          <w:b/>
        </w:rPr>
      </w:pPr>
    </w:p>
    <w:p w:rsidR="00A5744C" w:rsidRDefault="00503B0C" w:rsidP="00BF558F">
      <w:pPr>
        <w:spacing w:after="120"/>
        <w:ind w:left="720" w:right="720"/>
        <w:jc w:val="both"/>
      </w:pPr>
      <w:r>
        <w:rPr>
          <w:b/>
        </w:rPr>
        <w:t xml:space="preserve">Summary </w:t>
      </w:r>
      <w:r w:rsidR="00BF7CB3">
        <w:rPr>
          <w:b/>
        </w:rPr>
        <w:t>–</w:t>
      </w:r>
      <w:r w:rsidR="00521C25">
        <w:rPr>
          <w:b/>
        </w:rPr>
        <w:t xml:space="preserve"> </w:t>
      </w:r>
      <w:r w:rsidR="00AC338F">
        <w:t>E</w:t>
      </w:r>
      <w:r w:rsidR="00DD50EC">
        <w:t xml:space="preserve">conomic growth in </w:t>
      </w:r>
      <w:r w:rsidR="009B5E65" w:rsidRPr="009B5E65">
        <w:t>Vietnam</w:t>
      </w:r>
      <w:r w:rsidR="00DD50EC">
        <w:t xml:space="preserve"> </w:t>
      </w:r>
      <w:r w:rsidR="00AC338F">
        <w:t xml:space="preserve">has been </w:t>
      </w:r>
      <w:r w:rsidR="009B5E65">
        <w:t xml:space="preserve">fairly resilient to </w:t>
      </w:r>
      <w:r w:rsidR="0003084F">
        <w:t xml:space="preserve">the </w:t>
      </w:r>
      <w:r w:rsidR="009B5E65">
        <w:t xml:space="preserve">global </w:t>
      </w:r>
      <w:r w:rsidR="00D33069">
        <w:t xml:space="preserve">commodity and financial </w:t>
      </w:r>
      <w:r w:rsidR="009B5E65">
        <w:t>crises</w:t>
      </w:r>
      <w:r w:rsidR="00434F52">
        <w:t xml:space="preserve">, </w:t>
      </w:r>
      <w:r w:rsidR="00AC338F">
        <w:t>but</w:t>
      </w:r>
      <w:r w:rsidR="00065019">
        <w:t xml:space="preserve"> it is unclear why. In addition,</w:t>
      </w:r>
      <w:r w:rsidR="00AC338F">
        <w:t xml:space="preserve"> </w:t>
      </w:r>
      <w:r w:rsidR="003049B6">
        <w:t>th</w:t>
      </w:r>
      <w:r w:rsidR="00065019">
        <w:t>e</w:t>
      </w:r>
      <w:r w:rsidR="00DD50EC">
        <w:t xml:space="preserve"> impact </w:t>
      </w:r>
      <w:r w:rsidR="00065019">
        <w:t xml:space="preserve">of the crises </w:t>
      </w:r>
      <w:r w:rsidR="00DD50EC">
        <w:t xml:space="preserve">on </w:t>
      </w:r>
      <w:r w:rsidR="00434F52">
        <w:t xml:space="preserve">employment and poverty </w:t>
      </w:r>
      <w:r w:rsidR="00DD50EC">
        <w:t xml:space="preserve">is </w:t>
      </w:r>
      <w:r w:rsidR="00C1018B">
        <w:t>in dispute</w:t>
      </w:r>
      <w:r w:rsidR="00434F52">
        <w:t xml:space="preserve">. We develop a dynamic </w:t>
      </w:r>
      <w:r w:rsidR="009C4495">
        <w:t xml:space="preserve">computable </w:t>
      </w:r>
      <w:r w:rsidR="00434F52">
        <w:t xml:space="preserve">general equilibrium model to </w:t>
      </w:r>
      <w:r w:rsidR="00065019">
        <w:t xml:space="preserve">decompose impacts and </w:t>
      </w:r>
      <w:r w:rsidR="007A4AB5">
        <w:t xml:space="preserve">estimate </w:t>
      </w:r>
      <w:r w:rsidR="00442463">
        <w:t xml:space="preserve">distributional </w:t>
      </w:r>
      <w:r w:rsidR="00832AE8">
        <w:t>outcomes</w:t>
      </w:r>
      <w:r w:rsidR="001764E8">
        <w:t xml:space="preserve">. </w:t>
      </w:r>
      <w:r w:rsidR="00AC338F">
        <w:t xml:space="preserve">Our </w:t>
      </w:r>
      <w:r w:rsidR="00FB3EDD" w:rsidRPr="009B5E65">
        <w:t xml:space="preserve">results indicate that the 2008 commodity crisis </w:t>
      </w:r>
      <w:r w:rsidR="00A5744C">
        <w:t xml:space="preserve">increased employment and reduced </w:t>
      </w:r>
      <w:r w:rsidR="00FB3EDD" w:rsidRPr="009B5E65">
        <w:t>poverty</w:t>
      </w:r>
      <w:r w:rsidR="00FB3EDD">
        <w:t xml:space="preserve"> </w:t>
      </w:r>
      <w:r w:rsidR="00FB3EDD" w:rsidRPr="009B5E65">
        <w:t xml:space="preserve">by </w:t>
      </w:r>
      <w:r w:rsidR="00FB3EDD">
        <w:t xml:space="preserve">favoring labor-intensive </w:t>
      </w:r>
      <w:r w:rsidR="00FB3EDD" w:rsidRPr="009B5E65">
        <w:t>exports</w:t>
      </w:r>
      <w:r w:rsidR="007345FF">
        <w:t xml:space="preserve">, especially </w:t>
      </w:r>
      <w:r w:rsidR="00C90F45">
        <w:t xml:space="preserve">in </w:t>
      </w:r>
      <w:r w:rsidR="007345FF">
        <w:t>agriculture</w:t>
      </w:r>
      <w:r w:rsidR="00DC7F9C">
        <w:t xml:space="preserve">. </w:t>
      </w:r>
      <w:r w:rsidR="00D33069">
        <w:t>T</w:t>
      </w:r>
      <w:r w:rsidR="003E6E3B">
        <w:t>he 2009 financial crisis reversed these gains</w:t>
      </w:r>
      <w:r w:rsidR="00A5744C">
        <w:t xml:space="preserve">. </w:t>
      </w:r>
      <w:r w:rsidR="00BF558F">
        <w:t xml:space="preserve">It </w:t>
      </w:r>
      <w:r w:rsidR="00A5744C">
        <w:t>p</w:t>
      </w:r>
      <w:r w:rsidR="00DC7622">
        <w:t>ush</w:t>
      </w:r>
      <w:r w:rsidR="00A5744C">
        <w:t>ed</w:t>
      </w:r>
      <w:r w:rsidR="00DC7622">
        <w:t xml:space="preserve"> </w:t>
      </w:r>
      <w:r w:rsidR="00065019">
        <w:t>more than</w:t>
      </w:r>
      <w:r w:rsidR="00BF558F">
        <w:t xml:space="preserve"> a </w:t>
      </w:r>
      <w:r w:rsidR="006838A3">
        <w:t xml:space="preserve">million </w:t>
      </w:r>
      <w:r w:rsidR="00DC7622">
        <w:t xml:space="preserve">workers into unemployment and </w:t>
      </w:r>
      <w:r w:rsidR="00065019">
        <w:t>about</w:t>
      </w:r>
      <w:r w:rsidR="00BF558F">
        <w:t xml:space="preserve"> 3 </w:t>
      </w:r>
      <w:r w:rsidR="006838A3">
        <w:t xml:space="preserve">million </w:t>
      </w:r>
      <w:r w:rsidR="00DC7622">
        <w:t>people below the US$2-a-day poverty line</w:t>
      </w:r>
      <w:r w:rsidR="005328CF">
        <w:t xml:space="preserve">, with the vast majority of these </w:t>
      </w:r>
      <w:r w:rsidR="00C1018B">
        <w:t xml:space="preserve">being </w:t>
      </w:r>
      <w:r w:rsidR="005328CF">
        <w:t>rural dwellers</w:t>
      </w:r>
      <w:r w:rsidR="00DC7622">
        <w:t xml:space="preserve">. </w:t>
      </w:r>
      <w:r w:rsidR="00065019">
        <w:t>The net effect of the crises left Vietnam little changed from a baseline (no crises) path in terms of aggregate indicators including the poverty rate. An effec</w:t>
      </w:r>
      <w:r w:rsidR="00A5744C">
        <w:t xml:space="preserve">tive </w:t>
      </w:r>
      <w:r w:rsidR="001B42A5">
        <w:t xml:space="preserve">stimulus package </w:t>
      </w:r>
      <w:r w:rsidR="00A5744C">
        <w:t xml:space="preserve">has the potential to </w:t>
      </w:r>
      <w:r w:rsidR="00065019">
        <w:t>offset on</w:t>
      </w:r>
      <w:r w:rsidR="00C1018B">
        <w:t>e</w:t>
      </w:r>
      <w:r w:rsidR="00065019">
        <w:t xml:space="preserve"> third</w:t>
      </w:r>
      <w:r w:rsidR="00327034">
        <w:t xml:space="preserve"> of </w:t>
      </w:r>
      <w:r w:rsidR="00065019">
        <w:t xml:space="preserve">the increase in </w:t>
      </w:r>
      <w:r w:rsidR="00E82090">
        <w:t>poverty caused by the financial crisis</w:t>
      </w:r>
      <w:r w:rsidR="00065019">
        <w:t xml:space="preserve"> leaving poverty rates below the (no crises) baseline.</w:t>
      </w:r>
      <w:r w:rsidR="001B42A5">
        <w:t xml:space="preserve"> </w:t>
      </w:r>
    </w:p>
    <w:p w:rsidR="00521C25" w:rsidRDefault="00521C25">
      <w:pPr>
        <w:spacing w:after="120"/>
        <w:ind w:left="720" w:right="720"/>
        <w:jc w:val="both"/>
      </w:pPr>
    </w:p>
    <w:p w:rsidR="00BF7CB3" w:rsidRPr="009B5E65" w:rsidRDefault="000628F3" w:rsidP="00C00E15">
      <w:pPr>
        <w:spacing w:after="120"/>
        <w:ind w:firstLine="720"/>
      </w:pPr>
      <w:r>
        <w:rPr>
          <w:i/>
        </w:rPr>
        <w:t xml:space="preserve">Key </w:t>
      </w:r>
      <w:r w:rsidR="006701DD" w:rsidRPr="006701DD">
        <w:rPr>
          <w:i/>
        </w:rPr>
        <w:t>words</w:t>
      </w:r>
      <w:r w:rsidR="00BF7CB3">
        <w:t xml:space="preserve"> –</w:t>
      </w:r>
      <w:r w:rsidR="000C6DC2">
        <w:t xml:space="preserve"> </w:t>
      </w:r>
      <w:r w:rsidR="00D33069">
        <w:t xml:space="preserve">economic </w:t>
      </w:r>
      <w:r w:rsidR="00BF7CB3">
        <w:t>crisis, growth, poverty, Vietnam</w:t>
      </w:r>
    </w:p>
    <w:p w:rsidR="00F82839" w:rsidRDefault="00F82839"/>
    <w:p w:rsidR="00521C25" w:rsidRDefault="00521C25"/>
    <w:p w:rsidR="00F82839" w:rsidRDefault="00F82839" w:rsidP="00C8746D">
      <w:pPr>
        <w:jc w:val="both"/>
        <w:rPr>
          <w:b/>
        </w:rPr>
      </w:pPr>
      <w:r>
        <w:t xml:space="preserve">We are grateful for financial assistance from </w:t>
      </w:r>
      <w:r w:rsidR="005D6609">
        <w:t>the European Commission through their support of IFPRI’s “Country Development Strategies” program; and to DANIDA</w:t>
      </w:r>
      <w:r>
        <w:t xml:space="preserve">, including support from the Danish Embassy in Vietnam and from the FFU project entitled “Economic Governance and Development in Vietnam and Mozambique". </w:t>
      </w:r>
      <w:r w:rsidR="00AB7004">
        <w:t xml:space="preserve">Authorship is shared. </w:t>
      </w:r>
      <w:r>
        <w:t>All the usual caveats apply.</w:t>
      </w:r>
      <w:r>
        <w:rPr>
          <w:b/>
        </w:rPr>
        <w:br w:type="page"/>
      </w:r>
    </w:p>
    <w:p w:rsidR="00F82839" w:rsidRDefault="00F82839" w:rsidP="00056ED5">
      <w:pPr>
        <w:spacing w:after="120"/>
        <w:rPr>
          <w:b/>
        </w:rPr>
      </w:pPr>
      <w:r>
        <w:rPr>
          <w:b/>
          <w:sz w:val="26"/>
        </w:rPr>
        <w:lastRenderedPageBreak/>
        <w:t>The Global Commodity and F</w:t>
      </w:r>
      <w:r w:rsidRPr="00503B0C">
        <w:rPr>
          <w:b/>
          <w:sz w:val="26"/>
        </w:rPr>
        <w:t xml:space="preserve">inancial </w:t>
      </w:r>
      <w:r>
        <w:rPr>
          <w:b/>
          <w:sz w:val="26"/>
        </w:rPr>
        <w:t>C</w:t>
      </w:r>
      <w:r w:rsidRPr="00503B0C">
        <w:rPr>
          <w:b/>
          <w:sz w:val="26"/>
        </w:rPr>
        <w:t>ris</w:t>
      </w:r>
      <w:r>
        <w:rPr>
          <w:b/>
          <w:sz w:val="26"/>
        </w:rPr>
        <w:t>e</w:t>
      </w:r>
      <w:r w:rsidRPr="00503B0C">
        <w:rPr>
          <w:b/>
          <w:sz w:val="26"/>
        </w:rPr>
        <w:t xml:space="preserve">s </w:t>
      </w:r>
      <w:r>
        <w:rPr>
          <w:b/>
          <w:sz w:val="26"/>
        </w:rPr>
        <w:t>and Their Impact on P</w:t>
      </w:r>
      <w:r w:rsidRPr="00503B0C">
        <w:rPr>
          <w:b/>
          <w:sz w:val="26"/>
        </w:rPr>
        <w:t>overty in Vietnam</w:t>
      </w:r>
    </w:p>
    <w:p w:rsidR="009969C3" w:rsidRDefault="009969C3" w:rsidP="00056ED5">
      <w:pPr>
        <w:spacing w:after="120"/>
        <w:rPr>
          <w:b/>
        </w:rPr>
      </w:pPr>
    </w:p>
    <w:p w:rsidR="00503B0C" w:rsidRDefault="00503B0C" w:rsidP="00056ED5">
      <w:pPr>
        <w:spacing w:after="120"/>
        <w:rPr>
          <w:b/>
        </w:rPr>
      </w:pPr>
      <w:r>
        <w:rPr>
          <w:b/>
        </w:rPr>
        <w:t xml:space="preserve">1.  </w:t>
      </w:r>
      <w:r w:rsidR="00F3351F">
        <w:rPr>
          <w:b/>
        </w:rPr>
        <w:t>INTRODUCTION</w:t>
      </w:r>
    </w:p>
    <w:p w:rsidR="00BA0056" w:rsidRDefault="00BA0056" w:rsidP="00056ED5">
      <w:pPr>
        <w:spacing w:after="120"/>
        <w:jc w:val="both"/>
      </w:pPr>
      <w:r>
        <w:t>Vietnam</w:t>
      </w:r>
      <w:r w:rsidR="00646D3E">
        <w:t xml:space="preserve">'s economy </w:t>
      </w:r>
      <w:r w:rsidR="00D92939">
        <w:t>has grown</w:t>
      </w:r>
      <w:r w:rsidR="006E2DBE">
        <w:t xml:space="preserve"> </w:t>
      </w:r>
      <w:r w:rsidR="00646D3E">
        <w:t xml:space="preserve">rapidly </w:t>
      </w:r>
      <w:r>
        <w:t xml:space="preserve">over the last </w:t>
      </w:r>
      <w:r w:rsidR="00086A1F">
        <w:t xml:space="preserve">two </w:t>
      </w:r>
      <w:r>
        <w:t>decade</w:t>
      </w:r>
      <w:r w:rsidR="00086A1F">
        <w:t>s</w:t>
      </w:r>
      <w:r w:rsidR="00C63411">
        <w:t>, and p</w:t>
      </w:r>
      <w:r>
        <w:t xml:space="preserve">overty </w:t>
      </w:r>
      <w:r w:rsidR="00C63411">
        <w:t xml:space="preserve">has </w:t>
      </w:r>
      <w:r w:rsidR="00E33A95">
        <w:t xml:space="preserve">declined </w:t>
      </w:r>
      <w:r>
        <w:t xml:space="preserve">without </w:t>
      </w:r>
      <w:r w:rsidR="00D92939">
        <w:t xml:space="preserve">a </w:t>
      </w:r>
      <w:r w:rsidR="00B65522">
        <w:t xml:space="preserve">significant </w:t>
      </w:r>
      <w:r>
        <w:t>deterioration in inequality</w:t>
      </w:r>
      <w:r w:rsidR="00F55889">
        <w:t xml:space="preserve"> (</w:t>
      </w:r>
      <w:proofErr w:type="spellStart"/>
      <w:r w:rsidR="00FC47A7">
        <w:t>Glewwe</w:t>
      </w:r>
      <w:proofErr w:type="spellEnd"/>
      <w:r w:rsidR="00FC47A7">
        <w:t xml:space="preserve"> et al.</w:t>
      </w:r>
      <w:r w:rsidR="00AF7289">
        <w:t>,</w:t>
      </w:r>
      <w:r w:rsidR="00FC47A7">
        <w:t xml:space="preserve"> 2002</w:t>
      </w:r>
      <w:r w:rsidR="00233B60">
        <w:t>;</w:t>
      </w:r>
      <w:r w:rsidR="00FC47A7">
        <w:t xml:space="preserve"> </w:t>
      </w:r>
      <w:r w:rsidR="003F48FC">
        <w:t>GSO</w:t>
      </w:r>
      <w:r w:rsidR="00AF7289">
        <w:t>,</w:t>
      </w:r>
      <w:r w:rsidR="003F48FC">
        <w:t xml:space="preserve"> </w:t>
      </w:r>
      <w:r w:rsidR="00BE43A0">
        <w:t>2007</w:t>
      </w:r>
      <w:r w:rsidR="00F55889">
        <w:t>)</w:t>
      </w:r>
      <w:r>
        <w:t>.</w:t>
      </w:r>
      <w:r w:rsidR="00525208">
        <w:t xml:space="preserve"> </w:t>
      </w:r>
      <w:r w:rsidR="00355C95">
        <w:t>Agriculture played a</w:t>
      </w:r>
      <w:r w:rsidR="00F30F8F">
        <w:t xml:space="preserve"> </w:t>
      </w:r>
      <w:r w:rsidR="002E6139">
        <w:t>key</w:t>
      </w:r>
      <w:r w:rsidR="00355C95">
        <w:t xml:space="preserve"> role</w:t>
      </w:r>
      <w:r w:rsidR="001B304E">
        <w:t xml:space="preserve"> in </w:t>
      </w:r>
      <w:r w:rsidR="00D31A94">
        <w:t xml:space="preserve">this </w:t>
      </w:r>
      <w:r w:rsidR="00632474">
        <w:t>process</w:t>
      </w:r>
      <w:r w:rsidR="009C11B7">
        <w:t>. L</w:t>
      </w:r>
      <w:r w:rsidR="00E33A95">
        <w:t xml:space="preserve">arge </w:t>
      </w:r>
      <w:r w:rsidR="00355C95">
        <w:t xml:space="preserve">parts of the sector </w:t>
      </w:r>
      <w:r w:rsidR="009E1DDC">
        <w:t xml:space="preserve">were </w:t>
      </w:r>
      <w:r w:rsidR="00355C95">
        <w:t xml:space="preserve">transformed from subsistence to export-orientation </w:t>
      </w:r>
      <w:r w:rsidR="004A6C40">
        <w:t xml:space="preserve">and </w:t>
      </w:r>
      <w:r w:rsidR="00355C95">
        <w:t xml:space="preserve">Vietnam </w:t>
      </w:r>
      <w:r w:rsidR="004A6C40">
        <w:t xml:space="preserve">became </w:t>
      </w:r>
      <w:r w:rsidR="00355C95">
        <w:t xml:space="preserve">a </w:t>
      </w:r>
      <w:r w:rsidR="002E6139">
        <w:t xml:space="preserve">major </w:t>
      </w:r>
      <w:r w:rsidR="00D7566B">
        <w:t xml:space="preserve">exporter </w:t>
      </w:r>
      <w:r w:rsidR="00C53435">
        <w:t xml:space="preserve">of </w:t>
      </w:r>
      <w:r w:rsidR="002529ED">
        <w:t>grain</w:t>
      </w:r>
      <w:r w:rsidR="00E22F9D">
        <w:t>s</w:t>
      </w:r>
      <w:r w:rsidR="002529ED">
        <w:t xml:space="preserve"> and other </w:t>
      </w:r>
      <w:r w:rsidR="00C53435">
        <w:t>food</w:t>
      </w:r>
      <w:r w:rsidR="00360656">
        <w:t>s</w:t>
      </w:r>
      <w:r w:rsidR="00355C95">
        <w:t xml:space="preserve">. </w:t>
      </w:r>
      <w:r w:rsidR="00BD0024">
        <w:t xml:space="preserve">During the 2008 commodity crisis, </w:t>
      </w:r>
      <w:r w:rsidR="00016C1B">
        <w:t xml:space="preserve">world </w:t>
      </w:r>
      <w:r w:rsidR="00BD0024">
        <w:t>price</w:t>
      </w:r>
      <w:r w:rsidR="00480091">
        <w:t>s</w:t>
      </w:r>
      <w:r w:rsidR="00BD0024">
        <w:t xml:space="preserve"> </w:t>
      </w:r>
      <w:r w:rsidR="00252648">
        <w:t xml:space="preserve">for </w:t>
      </w:r>
      <w:r w:rsidR="00A11FBF">
        <w:t>Vietnam’s</w:t>
      </w:r>
      <w:r w:rsidR="00BD0024">
        <w:t xml:space="preserve"> </w:t>
      </w:r>
      <w:r w:rsidR="001B304E">
        <w:t xml:space="preserve">major </w:t>
      </w:r>
      <w:r w:rsidR="00BD0024">
        <w:t>exports</w:t>
      </w:r>
      <w:r w:rsidR="00480091" w:rsidRPr="00480091">
        <w:t xml:space="preserve"> </w:t>
      </w:r>
      <w:r w:rsidR="00480091">
        <w:t>rose rapidly</w:t>
      </w:r>
      <w:r w:rsidR="00AC338F">
        <w:t xml:space="preserve">, but </w:t>
      </w:r>
      <w:r w:rsidR="00B22B31">
        <w:t xml:space="preserve">during </w:t>
      </w:r>
      <w:r w:rsidR="00BD0024">
        <w:t xml:space="preserve">the 2009 financial crisis and subsequent </w:t>
      </w:r>
      <w:r w:rsidR="00A11FBF">
        <w:t xml:space="preserve">global </w:t>
      </w:r>
      <w:r w:rsidR="00BD0024">
        <w:t xml:space="preserve">recession there was a sharp </w:t>
      </w:r>
      <w:r w:rsidR="00DC0B28">
        <w:t xml:space="preserve">decline </w:t>
      </w:r>
      <w:r w:rsidR="00C278D0">
        <w:t xml:space="preserve">in </w:t>
      </w:r>
      <w:r w:rsidR="00FD0929">
        <w:t xml:space="preserve">world </w:t>
      </w:r>
      <w:r w:rsidR="00BD0024">
        <w:t>prices</w:t>
      </w:r>
      <w:r w:rsidR="00CE4DED">
        <w:t>, demand for exports,</w:t>
      </w:r>
      <w:r w:rsidR="00BD0024">
        <w:t xml:space="preserve"> and </w:t>
      </w:r>
      <w:r w:rsidR="006E2DBE">
        <w:t>foreign investment</w:t>
      </w:r>
      <w:r w:rsidR="00BD0024">
        <w:t xml:space="preserve">. </w:t>
      </w:r>
      <w:r w:rsidR="00B15196">
        <w:t>E</w:t>
      </w:r>
      <w:r w:rsidR="00B22B31">
        <w:t xml:space="preserve">conomic growth </w:t>
      </w:r>
      <w:r w:rsidR="00C278D0">
        <w:t xml:space="preserve">in Vietnam </w:t>
      </w:r>
      <w:r w:rsidR="00B22B31">
        <w:t xml:space="preserve">slowed </w:t>
      </w:r>
      <w:r w:rsidR="00465C0F">
        <w:t>in early 2009</w:t>
      </w:r>
      <w:r w:rsidR="00B22B31">
        <w:t xml:space="preserve">, </w:t>
      </w:r>
      <w:r w:rsidR="00B15196">
        <w:t xml:space="preserve">but </w:t>
      </w:r>
      <w:r w:rsidR="00B65522">
        <w:t xml:space="preserve">the economy </w:t>
      </w:r>
      <w:r w:rsidR="00023C06">
        <w:t xml:space="preserve">continued to </w:t>
      </w:r>
      <w:r w:rsidR="00B65522">
        <w:t xml:space="preserve">expand and </w:t>
      </w:r>
      <w:r w:rsidR="00016C1B">
        <w:t xml:space="preserve">there were </w:t>
      </w:r>
      <w:r w:rsidR="00C1018B">
        <w:t xml:space="preserve">clear </w:t>
      </w:r>
      <w:r w:rsidR="00016C1B">
        <w:t xml:space="preserve">signs of </w:t>
      </w:r>
      <w:r w:rsidR="00C87A82">
        <w:t xml:space="preserve">recovery </w:t>
      </w:r>
      <w:r w:rsidR="00C1018B">
        <w:t>during the second half of the year</w:t>
      </w:r>
      <w:r w:rsidR="00B22B31">
        <w:t xml:space="preserve">. </w:t>
      </w:r>
      <w:r w:rsidR="0000097E">
        <w:t>This suggests</w:t>
      </w:r>
      <w:r w:rsidR="007703D0">
        <w:t xml:space="preserve"> that</w:t>
      </w:r>
      <w:r w:rsidR="00A11FBF">
        <w:t>, from a macroeconomic perspective,</w:t>
      </w:r>
      <w:r w:rsidR="00B22B31">
        <w:t xml:space="preserve"> Vietnam </w:t>
      </w:r>
      <w:r w:rsidR="007969D9">
        <w:t xml:space="preserve">has so far </w:t>
      </w:r>
      <w:r w:rsidR="00B22B31">
        <w:t xml:space="preserve">weathered the </w:t>
      </w:r>
      <w:r w:rsidR="002B75DD">
        <w:t xml:space="preserve">two </w:t>
      </w:r>
      <w:r w:rsidR="00B22B31">
        <w:t xml:space="preserve">crises </w:t>
      </w:r>
      <w:r w:rsidR="00316039">
        <w:t xml:space="preserve">fairly </w:t>
      </w:r>
      <w:r w:rsidR="00B22B31">
        <w:t xml:space="preserve">well. </w:t>
      </w:r>
    </w:p>
    <w:p w:rsidR="00BD0024" w:rsidRDefault="00CD3D84" w:rsidP="00056ED5">
      <w:pPr>
        <w:spacing w:after="120"/>
        <w:jc w:val="both"/>
      </w:pPr>
      <w:r>
        <w:t xml:space="preserve">It </w:t>
      </w:r>
      <w:r w:rsidR="00515E4F">
        <w:t>is</w:t>
      </w:r>
      <w:r w:rsidR="00CB6DA6">
        <w:t xml:space="preserve"> uncertain</w:t>
      </w:r>
      <w:r>
        <w:t xml:space="preserve">, however, what the </w:t>
      </w:r>
      <w:r w:rsidR="00086A1F">
        <w:t>e</w:t>
      </w:r>
      <w:r>
        <w:t xml:space="preserve">ffect of </w:t>
      </w:r>
      <w:r w:rsidR="007C2877">
        <w:t xml:space="preserve">the crises </w:t>
      </w:r>
      <w:r>
        <w:t xml:space="preserve">has been on </w:t>
      </w:r>
      <w:r w:rsidR="00F55889">
        <w:t xml:space="preserve">workers </w:t>
      </w:r>
      <w:r w:rsidR="00AB2D3E">
        <w:t xml:space="preserve">and </w:t>
      </w:r>
      <w:r w:rsidR="007C2877">
        <w:t>household</w:t>
      </w:r>
      <w:r w:rsidR="00F55889">
        <w:t xml:space="preserve">s and what </w:t>
      </w:r>
      <w:r w:rsidR="00AB2D3E">
        <w:t xml:space="preserve">the </w:t>
      </w:r>
      <w:r w:rsidR="00F55889">
        <w:t xml:space="preserve">lasting </w:t>
      </w:r>
      <w:r w:rsidR="00AB2D3E">
        <w:t xml:space="preserve">welfare </w:t>
      </w:r>
      <w:r w:rsidR="00F55889">
        <w:t xml:space="preserve">implications </w:t>
      </w:r>
      <w:r w:rsidR="00AB2D3E">
        <w:t>will be</w:t>
      </w:r>
      <w:r w:rsidR="00CB6DA6">
        <w:t>.</w:t>
      </w:r>
      <w:r w:rsidR="007C2877">
        <w:t xml:space="preserve"> </w:t>
      </w:r>
      <w:r w:rsidR="007969D9">
        <w:t>I</w:t>
      </w:r>
      <w:r w:rsidR="00A845CB">
        <w:t>ndustrial wo</w:t>
      </w:r>
      <w:r w:rsidR="007C2877">
        <w:t xml:space="preserve">rkers </w:t>
      </w:r>
      <w:r w:rsidR="00A845CB">
        <w:t xml:space="preserve">were </w:t>
      </w:r>
      <w:r w:rsidR="007C2877">
        <w:t xml:space="preserve">laid off </w:t>
      </w:r>
      <w:r w:rsidR="00CF1518">
        <w:t xml:space="preserve">in </w:t>
      </w:r>
      <w:r w:rsidR="00B75423">
        <w:t xml:space="preserve">early </w:t>
      </w:r>
      <w:r w:rsidR="007C2877">
        <w:t xml:space="preserve">2009, </w:t>
      </w:r>
      <w:r w:rsidR="004F0D47">
        <w:t xml:space="preserve">possibly resulting in </w:t>
      </w:r>
      <w:r w:rsidR="007C2877">
        <w:t xml:space="preserve">migration back </w:t>
      </w:r>
      <w:r w:rsidR="00B75423">
        <w:t xml:space="preserve">to </w:t>
      </w:r>
      <w:r w:rsidR="007C2877">
        <w:t>rural areas</w:t>
      </w:r>
      <w:r w:rsidR="00F92382">
        <w:t xml:space="preserve"> (</w:t>
      </w:r>
      <w:r w:rsidR="005F20E7">
        <w:t>Van</w:t>
      </w:r>
      <w:r w:rsidR="00086A1F">
        <w:t>,</w:t>
      </w:r>
      <w:r w:rsidR="005F20E7">
        <w:t xml:space="preserve"> 2009</w:t>
      </w:r>
      <w:r w:rsidR="00F92382">
        <w:t>)</w:t>
      </w:r>
      <w:r w:rsidR="00AC338F">
        <w:t>, but</w:t>
      </w:r>
      <w:r w:rsidR="007C2877">
        <w:t xml:space="preserve"> </w:t>
      </w:r>
      <w:r w:rsidR="003A29FE">
        <w:t xml:space="preserve">it </w:t>
      </w:r>
      <w:r w:rsidR="00B75423">
        <w:t xml:space="preserve">is </w:t>
      </w:r>
      <w:r w:rsidR="00A86C08">
        <w:t xml:space="preserve">unclear </w:t>
      </w:r>
      <w:r w:rsidR="004E66EA">
        <w:t xml:space="preserve">to what extent </w:t>
      </w:r>
      <w:r w:rsidR="00B75423">
        <w:t xml:space="preserve">agriculture </w:t>
      </w:r>
      <w:r w:rsidR="00515E4F">
        <w:t xml:space="preserve">and the rural nonfarm economy </w:t>
      </w:r>
      <w:r w:rsidR="00B75423">
        <w:t>cushion</w:t>
      </w:r>
      <w:r w:rsidR="00FB36A0">
        <w:t>ed</w:t>
      </w:r>
      <w:r w:rsidR="00B75423">
        <w:t xml:space="preserve"> </w:t>
      </w:r>
      <w:r w:rsidR="00D728AB">
        <w:t xml:space="preserve">the incomes of </w:t>
      </w:r>
      <w:r w:rsidR="00D5188D">
        <w:t xml:space="preserve">displaced </w:t>
      </w:r>
      <w:r w:rsidR="005F20E7">
        <w:t xml:space="preserve">workers </w:t>
      </w:r>
      <w:r w:rsidR="00D728AB">
        <w:t>and their households</w:t>
      </w:r>
      <w:r w:rsidR="006063B4">
        <w:t xml:space="preserve">. </w:t>
      </w:r>
      <w:r w:rsidR="00F161D7">
        <w:t xml:space="preserve">Moreover, </w:t>
      </w:r>
      <w:r w:rsidR="00C03F88">
        <w:t xml:space="preserve">Vietnam’s government responded to the financial crisis by </w:t>
      </w:r>
      <w:r w:rsidR="00CF1518">
        <w:t xml:space="preserve">introducing </w:t>
      </w:r>
      <w:r w:rsidR="00C03F88">
        <w:t xml:space="preserve">a stimulus package aimed at stabilizing capital markets, encouraging </w:t>
      </w:r>
      <w:r w:rsidR="002E6139">
        <w:t xml:space="preserve">domestic </w:t>
      </w:r>
      <w:r w:rsidR="00C03F88">
        <w:t>investment and extending social security</w:t>
      </w:r>
      <w:r w:rsidR="007969D9">
        <w:t xml:space="preserve">. </w:t>
      </w:r>
      <w:r w:rsidR="00C06278">
        <w:t xml:space="preserve">The </w:t>
      </w:r>
      <w:r w:rsidR="004828A8">
        <w:t xml:space="preserve">extent to which </w:t>
      </w:r>
      <w:r w:rsidR="003F23FF">
        <w:t>the</w:t>
      </w:r>
      <w:r w:rsidR="0087575B">
        <w:t>se</w:t>
      </w:r>
      <w:r w:rsidR="003F23FF">
        <w:t xml:space="preserve"> </w:t>
      </w:r>
      <w:r w:rsidR="007969D9">
        <w:t xml:space="preserve">measures </w:t>
      </w:r>
      <w:r w:rsidR="00CE4DED">
        <w:t>might</w:t>
      </w:r>
      <w:r w:rsidR="007969D9">
        <w:t xml:space="preserve"> </w:t>
      </w:r>
      <w:r w:rsidR="00C06278">
        <w:t xml:space="preserve">offset growth and welfare losses </w:t>
      </w:r>
      <w:r w:rsidR="006402D2">
        <w:t xml:space="preserve">is </w:t>
      </w:r>
      <w:r w:rsidR="00D33069">
        <w:t>the subject of debate</w:t>
      </w:r>
      <w:r w:rsidR="00C06278">
        <w:t>.</w:t>
      </w:r>
    </w:p>
    <w:p w:rsidR="00F267F4" w:rsidRDefault="00F267F4" w:rsidP="00056ED5">
      <w:pPr>
        <w:spacing w:after="120"/>
        <w:jc w:val="both"/>
      </w:pPr>
      <w:r>
        <w:t xml:space="preserve">Given </w:t>
      </w:r>
      <w:r w:rsidR="00CA0319">
        <w:t>the uncertainty surrounding household-level outcomes</w:t>
      </w:r>
      <w:r>
        <w:t>, we estimate the impact of the commodity and financial cris</w:t>
      </w:r>
      <w:r w:rsidR="009E3D29">
        <w:t>e</w:t>
      </w:r>
      <w:r>
        <w:t>s on growth, employment and poverty</w:t>
      </w:r>
      <w:r w:rsidR="00566F99">
        <w:t xml:space="preserve">. We also assess </w:t>
      </w:r>
      <w:r w:rsidR="00044CB5">
        <w:t xml:space="preserve">the </w:t>
      </w:r>
      <w:r w:rsidR="00A13154">
        <w:t>government</w:t>
      </w:r>
      <w:r w:rsidR="00E60B15">
        <w:t>'s</w:t>
      </w:r>
      <w:r w:rsidR="00A13154">
        <w:t xml:space="preserve"> stimulus package</w:t>
      </w:r>
      <w:r>
        <w:t xml:space="preserve">. </w:t>
      </w:r>
      <w:r w:rsidRPr="00F267F4">
        <w:t xml:space="preserve">Section 2 </w:t>
      </w:r>
      <w:r w:rsidR="00E0259D">
        <w:t xml:space="preserve">describes </w:t>
      </w:r>
      <w:r w:rsidR="00C350B7">
        <w:t>Vietnam’s</w:t>
      </w:r>
      <w:r w:rsidR="00E0259D">
        <w:t xml:space="preserve"> economy and its growth performance during </w:t>
      </w:r>
      <w:r w:rsidR="007969D9">
        <w:t xml:space="preserve">the </w:t>
      </w:r>
      <w:r w:rsidR="00E0259D">
        <w:t>cris</w:t>
      </w:r>
      <w:r w:rsidR="005239F9">
        <w:t>e</w:t>
      </w:r>
      <w:r w:rsidR="00E0259D">
        <w:t xml:space="preserve">s. Section 3 considers </w:t>
      </w:r>
      <w:r w:rsidRPr="00F267F4">
        <w:t xml:space="preserve">the impact channels through which </w:t>
      </w:r>
      <w:r w:rsidR="00894976">
        <w:t xml:space="preserve">economic </w:t>
      </w:r>
      <w:r w:rsidR="00CA730F">
        <w:t xml:space="preserve">growth </w:t>
      </w:r>
      <w:r w:rsidR="00C7329E">
        <w:t xml:space="preserve">may have </w:t>
      </w:r>
      <w:r w:rsidR="00FC6463">
        <w:t xml:space="preserve">been </w:t>
      </w:r>
      <w:r w:rsidR="00C7329E" w:rsidRPr="00F267F4">
        <w:t>affected</w:t>
      </w:r>
      <w:r w:rsidRPr="00F267F4">
        <w:t>. To translate macro</w:t>
      </w:r>
      <w:r w:rsidR="00A2199C">
        <w:t>-level</w:t>
      </w:r>
      <w:r w:rsidRPr="00F267F4">
        <w:t xml:space="preserve"> impacts </w:t>
      </w:r>
      <w:r w:rsidR="007969D9">
        <w:t>i</w:t>
      </w:r>
      <w:r w:rsidRPr="00F267F4">
        <w:t xml:space="preserve">nto household incomes </w:t>
      </w:r>
      <w:r w:rsidR="00FC6463">
        <w:t xml:space="preserve">and poverty </w:t>
      </w:r>
      <w:r w:rsidRPr="00F267F4">
        <w:t xml:space="preserve">we develop a dynamic </w:t>
      </w:r>
      <w:r>
        <w:t xml:space="preserve">computable general equilibrium (DCGE) </w:t>
      </w:r>
      <w:r w:rsidRPr="00F267F4">
        <w:t>model</w:t>
      </w:r>
      <w:r w:rsidR="004A6C40">
        <w:t xml:space="preserve"> </w:t>
      </w:r>
      <w:r w:rsidR="00E92EE5">
        <w:t xml:space="preserve">described in </w:t>
      </w:r>
      <w:r w:rsidRPr="00F267F4">
        <w:t xml:space="preserve">Section </w:t>
      </w:r>
      <w:r w:rsidR="00F34807">
        <w:t>4</w:t>
      </w:r>
      <w:r w:rsidRPr="00F267F4">
        <w:t xml:space="preserve">. </w:t>
      </w:r>
      <w:r>
        <w:t xml:space="preserve">Section </w:t>
      </w:r>
      <w:r w:rsidR="00F34807">
        <w:t>5</w:t>
      </w:r>
      <w:r>
        <w:t xml:space="preserve"> discusses </w:t>
      </w:r>
      <w:r w:rsidR="00A14AA7">
        <w:t xml:space="preserve">the </w:t>
      </w:r>
      <w:r w:rsidR="00E92EE5">
        <w:t xml:space="preserve">simulations and </w:t>
      </w:r>
      <w:r>
        <w:t xml:space="preserve">results, </w:t>
      </w:r>
      <w:r w:rsidR="00052C9C">
        <w:t xml:space="preserve">and the final section </w:t>
      </w:r>
      <w:r w:rsidR="007969D9">
        <w:t xml:space="preserve">concludes. </w:t>
      </w:r>
    </w:p>
    <w:p w:rsidR="00E5211E" w:rsidRDefault="00587DF6" w:rsidP="002A023D">
      <w:pPr>
        <w:spacing w:after="120"/>
      </w:pPr>
      <w:r>
        <w:t xml:space="preserve"> </w:t>
      </w:r>
    </w:p>
    <w:p w:rsidR="00E17B3C" w:rsidRDefault="00503B0C" w:rsidP="00056ED5">
      <w:pPr>
        <w:spacing w:after="120"/>
        <w:rPr>
          <w:b/>
        </w:rPr>
      </w:pPr>
      <w:r>
        <w:rPr>
          <w:b/>
        </w:rPr>
        <w:t xml:space="preserve">2. </w:t>
      </w:r>
      <w:r w:rsidR="00F3351F">
        <w:rPr>
          <w:b/>
        </w:rPr>
        <w:t>VIETNAM’S ECONOMIC PERFORMANCE DURING THE CRISES</w:t>
      </w:r>
    </w:p>
    <w:p w:rsidR="00E17B3C" w:rsidRDefault="00AB3B46" w:rsidP="00056ED5">
      <w:pPr>
        <w:spacing w:after="120"/>
        <w:rPr>
          <w:i/>
        </w:rPr>
      </w:pPr>
      <w:r>
        <w:rPr>
          <w:i/>
        </w:rPr>
        <w:t>S</w:t>
      </w:r>
      <w:r w:rsidR="00E17B3C">
        <w:rPr>
          <w:i/>
        </w:rPr>
        <w:t xml:space="preserve">tructure of the Vietnamese economy </w:t>
      </w:r>
    </w:p>
    <w:p w:rsidR="006578CD" w:rsidRDefault="00BB5A19" w:rsidP="00056ED5">
      <w:pPr>
        <w:spacing w:after="120"/>
        <w:jc w:val="both"/>
      </w:pPr>
      <w:r>
        <w:t>Total g</w:t>
      </w:r>
      <w:r w:rsidR="00DC6AB1">
        <w:t xml:space="preserve">ross domestic product (GDP) </w:t>
      </w:r>
      <w:r w:rsidR="00EB5084">
        <w:t xml:space="preserve">was </w:t>
      </w:r>
      <w:r w:rsidR="00DC6AB1">
        <w:t>US$</w:t>
      </w:r>
      <w:r w:rsidR="001E6166">
        <w:t>61.3</w:t>
      </w:r>
      <w:r w:rsidR="00DC6AB1">
        <w:t xml:space="preserve"> billion in 2007, </w:t>
      </w:r>
      <w:r w:rsidR="005065F5">
        <w:t>equivalent to</w:t>
      </w:r>
      <w:r w:rsidR="00DC6AB1">
        <w:t xml:space="preserve"> US$</w:t>
      </w:r>
      <w:r w:rsidR="001E6166">
        <w:t>743</w:t>
      </w:r>
      <w:r w:rsidR="00DC6AB1">
        <w:t xml:space="preserve"> per capita for </w:t>
      </w:r>
      <w:r w:rsidR="000C5D1F">
        <w:t xml:space="preserve">Vietnam’s </w:t>
      </w:r>
      <w:r w:rsidR="005065F5">
        <w:t>82.5 million people</w:t>
      </w:r>
      <w:r w:rsidR="00DC6AB1">
        <w:t>.</w:t>
      </w:r>
      <w:r w:rsidR="006578CD">
        <w:rPr>
          <w:rStyle w:val="FootnoteReference"/>
        </w:rPr>
        <w:footnoteReference w:id="1"/>
      </w:r>
      <w:r w:rsidR="006578CD">
        <w:t xml:space="preserve"> Industry generates two-fifths of total GDP and one-fifth of employment, </w:t>
      </w:r>
      <w:r w:rsidR="00D92939">
        <w:t xml:space="preserve">two-thirds </w:t>
      </w:r>
      <w:r w:rsidR="006578CD">
        <w:t xml:space="preserve">of which is in manufacturing (Table 1). Industrial goods also generate a major share of Vietnam’s export earnings due to large contributions from </w:t>
      </w:r>
      <w:r w:rsidR="00D92939">
        <w:t>textile and clothing (25.8%), agro-processing (12.5%), and metals and machinery (11.9%)</w:t>
      </w:r>
      <w:r w:rsidR="006578CD">
        <w:t xml:space="preserve">. </w:t>
      </w:r>
      <w:r w:rsidR="00D92939">
        <w:t>Oil has also contributed significantly (19.0%).</w:t>
      </w:r>
      <w:r w:rsidR="000D229B">
        <w:t xml:space="preserve"> </w:t>
      </w:r>
      <w:r w:rsidR="006578CD">
        <w:t>Vietnam is equally dependent on industrial imports, particularly metals and machinery (38.5</w:t>
      </w:r>
      <w:r w:rsidR="00A22A97">
        <w:t>%</w:t>
      </w:r>
      <w:r w:rsidR="006578CD">
        <w:t xml:space="preserve">), </w:t>
      </w:r>
      <w:r w:rsidR="00362103">
        <w:t xml:space="preserve">fuel and </w:t>
      </w:r>
      <w:r w:rsidR="006578CD">
        <w:t>chemicals (22.5</w:t>
      </w:r>
      <w:r w:rsidR="00A22A97">
        <w:t>%</w:t>
      </w:r>
      <w:r w:rsidR="006578CD">
        <w:t>)</w:t>
      </w:r>
      <w:r w:rsidR="000D229B">
        <w:t>,</w:t>
      </w:r>
      <w:r w:rsidR="006578CD">
        <w:t xml:space="preserve"> and textiles (1</w:t>
      </w:r>
      <w:r w:rsidR="000D229B">
        <w:t>5</w:t>
      </w:r>
      <w:r w:rsidR="006578CD">
        <w:t>.</w:t>
      </w:r>
      <w:r w:rsidR="000D229B">
        <w:t>3</w:t>
      </w:r>
      <w:r w:rsidR="00A22A97">
        <w:t>%</w:t>
      </w:r>
      <w:r w:rsidR="006578CD">
        <w:t xml:space="preserve">).  </w:t>
      </w:r>
    </w:p>
    <w:p w:rsidR="006578CD" w:rsidRDefault="006578CD" w:rsidP="00056ED5">
      <w:pPr>
        <w:spacing w:after="120"/>
        <w:jc w:val="center"/>
      </w:pPr>
      <w:r>
        <w:lastRenderedPageBreak/>
        <w:t>[Table 1: Vietnam's economic structure]</w:t>
      </w:r>
    </w:p>
    <w:p w:rsidR="006578CD" w:rsidRDefault="006578CD" w:rsidP="00056ED5">
      <w:pPr>
        <w:spacing w:after="120"/>
        <w:jc w:val="both"/>
      </w:pPr>
      <w:r>
        <w:t>Agriculture is another key sector, generating one-fifth of total GDP and employing half the country’s workforce. Crops dominate, with paddy rice alone accounting for 6.8</w:t>
      </w:r>
      <w:r w:rsidR="00A22A97">
        <w:t>%</w:t>
      </w:r>
      <w:r>
        <w:t xml:space="preserve"> of total GDP. Seafood and traditional crops,</w:t>
      </w:r>
      <w:r w:rsidRPr="00273153">
        <w:t xml:space="preserve"> </w:t>
      </w:r>
      <w:r>
        <w:t>such as rubber and coffee, have strong downstream linkages to manufacturing, where raw agricultural products are processed and often exported. Agriculture in Vietnam is more export-oriented than in most developing countries, with agriculture and agro-processing together generating one-fifth of all export earnings. Moreover, 10</w:t>
      </w:r>
      <w:r w:rsidR="00A22A97">
        <w:t>%</w:t>
      </w:r>
      <w:r>
        <w:t xml:space="preserve"> of agricultural investment is FDI (GSO, 2009a).</w:t>
      </w:r>
      <w:r w:rsidRPr="00D555D3">
        <w:t xml:space="preserve"> </w:t>
      </w:r>
      <w:r>
        <w:t xml:space="preserve">Agriculture in Vietnam thus </w:t>
      </w:r>
      <w:r w:rsidR="00C965DD">
        <w:t xml:space="preserve">has </w:t>
      </w:r>
      <w:r w:rsidR="00362103">
        <w:t xml:space="preserve">relatively strong </w:t>
      </w:r>
      <w:r>
        <w:t>tie</w:t>
      </w:r>
      <w:r w:rsidR="00C965DD">
        <w:t>s</w:t>
      </w:r>
      <w:r>
        <w:t xml:space="preserve"> to global market conditions.</w:t>
      </w:r>
    </w:p>
    <w:p w:rsidR="006578CD" w:rsidRPr="00E17B3C" w:rsidRDefault="006578CD" w:rsidP="00056ED5">
      <w:pPr>
        <w:spacing w:after="120"/>
        <w:jc w:val="both"/>
      </w:pPr>
      <w:r>
        <w:t>Agriculture’s importance extends beyond its contribution to GDP, employment and export earnings. Three quarters of Vietnam’s population live in rural areas, where most derive some farm income. Poverty is also much higher in rural areas. According to the 2006 Vietnam Household Living Standard Survey (VHLSS)</w:t>
      </w:r>
      <w:r w:rsidR="00CA6B39">
        <w:t>,</w:t>
      </w:r>
      <w:r>
        <w:t xml:space="preserve"> 47</w:t>
      </w:r>
      <w:r w:rsidR="00A22A97">
        <w:t>%</w:t>
      </w:r>
      <w:r>
        <w:t xml:space="preserve"> of Vietnam’s population lives below the US$2-a-day poverty line (GSO, 2007). Yet equivalent rural and urban poverty rates are 59</w:t>
      </w:r>
      <w:r w:rsidR="00C26096">
        <w:t>%</w:t>
      </w:r>
      <w:r>
        <w:t xml:space="preserve"> and 15</w:t>
      </w:r>
      <w:r w:rsidR="00A22A97">
        <w:t>%</w:t>
      </w:r>
      <w:r>
        <w:t xml:space="preserve"> respectively, implying that about 90</w:t>
      </w:r>
      <w:r w:rsidR="00A22A97">
        <w:t>%</w:t>
      </w:r>
      <w:r>
        <w:t xml:space="preserve"> of the poor population is in rural areas. Moreover, poorer urban households spend half of their incomes on food. Agriculture therefore plays a crucial role in households’ livelihoods, especially for the poor.</w:t>
      </w:r>
    </w:p>
    <w:p w:rsidR="006578CD" w:rsidRPr="00503B0C" w:rsidRDefault="006578CD" w:rsidP="00056ED5">
      <w:pPr>
        <w:spacing w:after="120"/>
        <w:rPr>
          <w:i/>
        </w:rPr>
      </w:pPr>
      <w:r w:rsidRPr="00503B0C">
        <w:rPr>
          <w:i/>
        </w:rPr>
        <w:t xml:space="preserve">Economic growth </w:t>
      </w:r>
      <w:r>
        <w:rPr>
          <w:i/>
        </w:rPr>
        <w:t>during the crises</w:t>
      </w:r>
    </w:p>
    <w:p w:rsidR="006578CD" w:rsidRDefault="006578CD" w:rsidP="00056ED5">
      <w:pPr>
        <w:spacing w:after="120"/>
        <w:jc w:val="both"/>
      </w:pPr>
      <w:r>
        <w:t>Vietnam’s real economy expanded at an average 7.5</w:t>
      </w:r>
      <w:r w:rsidR="00A22A97">
        <w:t>%</w:t>
      </w:r>
      <w:r>
        <w:t xml:space="preserve"> per year during 2000-2007 (Figure 1). Growth in total GDP decelerated slightly during the 2008 commodity crisis driven by a small slowdown in services and a larger decline in industry. Falling industrial growth was due to construction, whose annualized growth rate dropped from 12</w:t>
      </w:r>
      <w:r w:rsidR="00C26096">
        <w:t>%</w:t>
      </w:r>
      <w:r>
        <w:t xml:space="preserve"> to 0</w:t>
      </w:r>
      <w:r w:rsidR="00A22A97">
        <w:t>%</w:t>
      </w:r>
      <w:r>
        <w:t xml:space="preserve">. Agricultural growth, by contrast, rose from </w:t>
      </w:r>
      <w:r w:rsidR="00A22A97">
        <w:t>3</w:t>
      </w:r>
      <w:r w:rsidR="00C26096">
        <w:t>%</w:t>
      </w:r>
      <w:r w:rsidR="00A22A97">
        <w:t xml:space="preserve"> </w:t>
      </w:r>
      <w:r>
        <w:t xml:space="preserve">to </w:t>
      </w:r>
      <w:r w:rsidR="00A22A97">
        <w:t>4%</w:t>
      </w:r>
      <w:r>
        <w:t xml:space="preserve"> due to expanded crop and aquaculture production (GSO, 2009b). Vietnam’s overall performance during the 2008 commodity crisis was thus characterized by stronger agricultural growth and continued industrial growth outside of construction. </w:t>
      </w:r>
    </w:p>
    <w:p w:rsidR="006578CD" w:rsidRPr="003601EF" w:rsidRDefault="006578CD" w:rsidP="00056ED5">
      <w:pPr>
        <w:spacing w:after="120"/>
        <w:jc w:val="center"/>
      </w:pPr>
      <w:r>
        <w:t>[Figure 1: Economic growth by major sector]</w:t>
      </w:r>
    </w:p>
    <w:p w:rsidR="006578CD" w:rsidRDefault="006578CD" w:rsidP="00056ED5">
      <w:pPr>
        <w:spacing w:after="120"/>
        <w:jc w:val="both"/>
      </w:pPr>
      <w:r>
        <w:t>Economic growth slowed sharply in the first quarter of 2009, which marks the height of the financial crisis and the onset of the global recession. Industry’s deceleration was almost exclusively due to manufacturing, with firms temporarily closing factories and dismissing workers (Van, 2009). The financial crisis also marked a reversal for agriculture. Crop production growth slowed from 5.7</w:t>
      </w:r>
      <w:r w:rsidR="00A22A97">
        <w:t>%</w:t>
      </w:r>
      <w:r>
        <w:t xml:space="preserve"> during the first half of 2008 to 0.7</w:t>
      </w:r>
      <w:r w:rsidR="00A22A97">
        <w:t>%</w:t>
      </w:r>
      <w:r>
        <w:t xml:space="preserve"> in 2009 (GSO, 2009b). The decline was even more pronounced for aquaculture, whose annualized growth rate fell from 30</w:t>
      </w:r>
      <w:r w:rsidR="00423ADE">
        <w:t>%</w:t>
      </w:r>
      <w:r>
        <w:t xml:space="preserve"> to 2</w:t>
      </w:r>
      <w:r w:rsidR="00A22A97">
        <w:t>%</w:t>
      </w:r>
      <w:r>
        <w:t>. Although rice and seafood were affected by lower export demand, at least some of their poor performance in early 2009 was due to adverse weather conditions. The slight slowdown in services resulted from weakened foreign tourism.</w:t>
      </w:r>
      <w:r>
        <w:rPr>
          <w:rStyle w:val="FootnoteReference"/>
        </w:rPr>
        <w:footnoteReference w:id="2"/>
      </w:r>
      <w:r>
        <w:t xml:space="preserve"> Ultimately, only transport and construction grew robustly during the 2009 financial crisis with all other sectors either stagnating or </w:t>
      </w:r>
      <w:r w:rsidR="00282B62">
        <w:t xml:space="preserve">contracting. However, </w:t>
      </w:r>
      <w:r w:rsidR="00C1018B">
        <w:t xml:space="preserve">during </w:t>
      </w:r>
      <w:r w:rsidR="00282B62">
        <w:t>the second half</w:t>
      </w:r>
      <w:r>
        <w:t xml:space="preserve"> of 2009 agriculture and industry </w:t>
      </w:r>
      <w:r w:rsidR="00C1018B">
        <w:t>have shown</w:t>
      </w:r>
      <w:r>
        <w:t xml:space="preserve"> signs of recovery, suggesting that the negative growth-effects of the financial crisis may be fairly short-lived.  </w:t>
      </w:r>
    </w:p>
    <w:p w:rsidR="006578CD" w:rsidRDefault="006578CD" w:rsidP="00056ED5">
      <w:pPr>
        <w:spacing w:after="120"/>
        <w:rPr>
          <w:b/>
        </w:rPr>
      </w:pPr>
    </w:p>
    <w:p w:rsidR="00B7330D" w:rsidRDefault="00B7330D" w:rsidP="00056ED5">
      <w:pPr>
        <w:spacing w:after="120"/>
        <w:rPr>
          <w:b/>
        </w:rPr>
      </w:pPr>
    </w:p>
    <w:p w:rsidR="006578CD" w:rsidRPr="009B3CFE" w:rsidRDefault="006578CD" w:rsidP="00056ED5">
      <w:pPr>
        <w:spacing w:after="120"/>
        <w:rPr>
          <w:b/>
        </w:rPr>
      </w:pPr>
      <w:r>
        <w:rPr>
          <w:b/>
        </w:rPr>
        <w:t>3. GROWTH AND POVERTY IMPACT CHANNELS</w:t>
      </w:r>
    </w:p>
    <w:p w:rsidR="006578CD" w:rsidRPr="001733CE" w:rsidRDefault="006578CD" w:rsidP="00056ED5">
      <w:pPr>
        <w:spacing w:after="120"/>
        <w:jc w:val="both"/>
      </w:pPr>
      <w:r>
        <w:t>This section examines the apparent resilience of national GDP growth to the two crises</w:t>
      </w:r>
      <w:r w:rsidR="00F914F9">
        <w:t xml:space="preserve">, </w:t>
      </w:r>
      <w:r>
        <w:t xml:space="preserve">considering various impact channels, including the financial sector; foreign direct investment; world prices and trade; and the government’s stimulus package. We also identify various channels linking the macro-level impacts of the crises to household incomes and poverty. </w:t>
      </w:r>
    </w:p>
    <w:p w:rsidR="006578CD" w:rsidRDefault="006578CD" w:rsidP="00056ED5">
      <w:pPr>
        <w:spacing w:after="120"/>
        <w:rPr>
          <w:i/>
        </w:rPr>
      </w:pPr>
      <w:r>
        <w:rPr>
          <w:i/>
        </w:rPr>
        <w:t>Financial sector and monetary policy</w:t>
      </w:r>
    </w:p>
    <w:p w:rsidR="006578CD" w:rsidRDefault="006578CD" w:rsidP="00056ED5">
      <w:pPr>
        <w:spacing w:after="120"/>
        <w:jc w:val="both"/>
      </w:pPr>
      <w:r>
        <w:t xml:space="preserve">Vietnam’s financial sector has been fairly insulated from the financial crisis. Andersen et al. (2008) identify three sources of </w:t>
      </w:r>
      <w:r w:rsidR="000D229B">
        <w:t xml:space="preserve">potential </w:t>
      </w:r>
      <w:r>
        <w:t xml:space="preserve">financial instability in developing countries resulting from the financial crisis: (i) exposure to illiquid/downgraded assets in developed countries; (ii) presence of foreign-owned domestic banks; and (iii) liquidity constraints from a shortage of short-term capital in international money markets. None of these </w:t>
      </w:r>
      <w:r w:rsidR="000D229B">
        <w:t xml:space="preserve">have been present in </w:t>
      </w:r>
      <w:r>
        <w:t xml:space="preserve">Vietnam. </w:t>
      </w:r>
    </w:p>
    <w:p w:rsidR="006578CD" w:rsidRDefault="006578CD" w:rsidP="00056ED5">
      <w:pPr>
        <w:spacing w:after="120"/>
        <w:jc w:val="both"/>
      </w:pPr>
      <w:r>
        <w:t xml:space="preserve">First, the country has limited direct exposure to the “toxic assets” that undermined many Western financial institutions. Vietnam’s banks are generally well capitalized with limited reliance on credit lines to Western banks (i.e., low balance sheet exposure). Nevertheless, asset prices, </w:t>
      </w:r>
      <w:r w:rsidR="00BF4CA7">
        <w:t xml:space="preserve">and in </w:t>
      </w:r>
      <w:r>
        <w:t xml:space="preserve">particular stocks, are </w:t>
      </w:r>
      <w:r w:rsidR="00CA524E">
        <w:t xml:space="preserve">highly sensitive to market sentiment and </w:t>
      </w:r>
      <w:r>
        <w:t>the external environment</w:t>
      </w:r>
      <w:r w:rsidR="00CA524E">
        <w:t>. T</w:t>
      </w:r>
      <w:r>
        <w:t xml:space="preserve">he stock-market </w:t>
      </w:r>
      <w:r w:rsidR="00BF4CA7">
        <w:t>therefore plummeted in late 2008 and early 2009</w:t>
      </w:r>
      <w:r>
        <w:t xml:space="preserve">. </w:t>
      </w:r>
    </w:p>
    <w:p w:rsidR="006578CD" w:rsidRDefault="006578CD" w:rsidP="00056ED5">
      <w:pPr>
        <w:spacing w:after="120"/>
        <w:jc w:val="both"/>
      </w:pPr>
      <w:r>
        <w:t xml:space="preserve">Secondly, despite the rising market shares of joint-stock commercial banks, most banking assets remain on the balance sheets of five state-owned banks. This limited exposure to troubled foreign-owned banks and provided the government with a mechanism for </w:t>
      </w:r>
      <w:r w:rsidR="00BF4CA7">
        <w:t>controlling</w:t>
      </w:r>
      <w:r>
        <w:t xml:space="preserve"> credit rates, which </w:t>
      </w:r>
      <w:r w:rsidR="00545BDC">
        <w:t>proved to be</w:t>
      </w:r>
      <w:r w:rsidR="00A17AA5">
        <w:t xml:space="preserve"> </w:t>
      </w:r>
      <w:r>
        <w:t xml:space="preserve">a key instrument </w:t>
      </w:r>
      <w:r w:rsidR="00A17AA5">
        <w:t xml:space="preserve">in </w:t>
      </w:r>
      <w:r>
        <w:t xml:space="preserve">its stimulus package. </w:t>
      </w:r>
      <w:r w:rsidR="0020119B">
        <w:t>The s</w:t>
      </w:r>
      <w:r>
        <w:t xml:space="preserve">tate-supported </w:t>
      </w:r>
      <w:r w:rsidR="0020119B">
        <w:t xml:space="preserve">Vietnam Bank for Social Policy </w:t>
      </w:r>
      <w:r w:rsidR="00C1018B">
        <w:t xml:space="preserve">(VBSP) </w:t>
      </w:r>
      <w:r>
        <w:t>also provided a means of efficiently disbursing government-subsidized loans</w:t>
      </w:r>
      <w:r w:rsidR="003C0656">
        <w:t xml:space="preserve"> to rural communities</w:t>
      </w:r>
      <w:r>
        <w:t xml:space="preserve">. </w:t>
      </w:r>
    </w:p>
    <w:p w:rsidR="006578CD" w:rsidRDefault="006578CD" w:rsidP="00056ED5">
      <w:pPr>
        <w:spacing w:after="120"/>
        <w:jc w:val="both"/>
      </w:pPr>
      <w:r>
        <w:t xml:space="preserve">Finally, the tightening of monetary policy in mid-2008 to </w:t>
      </w:r>
      <w:r w:rsidR="0020119B">
        <w:t>cool the economy</w:t>
      </w:r>
      <w:r>
        <w:t xml:space="preserve"> was reversed in late-2008 due to the financial crisis. Monetary policy remained loose, with government interest rate subsidies expanding credit and money supply during 2009. Overall, total liquidity (measured by M2) rose by 35</w:t>
      </w:r>
      <w:r w:rsidR="00A22A97">
        <w:t>%</w:t>
      </w:r>
      <w:r>
        <w:t xml:space="preserve"> in </w:t>
      </w:r>
      <w:r w:rsidR="0020119B">
        <w:t xml:space="preserve">the first half of </w:t>
      </w:r>
      <w:r>
        <w:t>2009</w:t>
      </w:r>
      <w:r w:rsidR="0020119B">
        <w:t>.</w:t>
      </w:r>
      <w:r>
        <w:t xml:space="preserve"> The supply of short-term capital was therefore </w:t>
      </w:r>
      <w:r w:rsidR="00DE0931">
        <w:t>expanded</w:t>
      </w:r>
      <w:r>
        <w:t xml:space="preserve"> and the impact of the crisis on the financial sector has remained small. </w:t>
      </w:r>
    </w:p>
    <w:p w:rsidR="006578CD" w:rsidRDefault="006578CD" w:rsidP="00056ED5">
      <w:pPr>
        <w:spacing w:after="120"/>
        <w:rPr>
          <w:i/>
        </w:rPr>
      </w:pPr>
      <w:r>
        <w:rPr>
          <w:i/>
        </w:rPr>
        <w:t xml:space="preserve">Foreign direct investment </w:t>
      </w:r>
    </w:p>
    <w:p w:rsidR="006578CD" w:rsidRDefault="006578CD" w:rsidP="00056ED5">
      <w:pPr>
        <w:spacing w:after="120"/>
        <w:jc w:val="both"/>
      </w:pPr>
      <w:r>
        <w:t xml:space="preserve">One motivation for tightening monetary policy in 2008 was the high levels of inflation caused in part by large surges in FDI (Figure 2). The financial crisis caused a sharp contraction in global capital markets in late-2008, including foreign capital </w:t>
      </w:r>
      <w:r w:rsidR="00E96BAA">
        <w:t>in</w:t>
      </w:r>
      <w:r>
        <w:t>flows to Vietnam. By early-2009, FDI had fallen below 2007 levels. This slowdown in investment helped stabilize consumer prices, with infla</w:t>
      </w:r>
      <w:r w:rsidR="00282B62">
        <w:t>tion returning to pre-2007 trend</w:t>
      </w:r>
      <w:r>
        <w:t>s. Thus, a positive outcome of the financial crisis was that it cooled the overheating Vietnamese economy.</w:t>
      </w:r>
    </w:p>
    <w:p w:rsidR="006578CD" w:rsidRDefault="006578CD" w:rsidP="00056ED5">
      <w:pPr>
        <w:spacing w:after="120"/>
        <w:jc w:val="center"/>
      </w:pPr>
      <w:r>
        <w:t>[Figure 2: FDI and consumer prices]</w:t>
      </w:r>
    </w:p>
    <w:p w:rsidR="006578CD" w:rsidRPr="002E7A0F" w:rsidRDefault="006578CD" w:rsidP="00056ED5">
      <w:pPr>
        <w:spacing w:after="120"/>
        <w:jc w:val="both"/>
      </w:pPr>
      <w:r>
        <w:t xml:space="preserve">To isolate the effects of the financial crisis on FDI, we compare flows in late-2008 with those in late-2007, treating the spike in FDI in 2008 as independent of the two crises. This comparison suggests that </w:t>
      </w:r>
      <w:r>
        <w:lastRenderedPageBreak/>
        <w:t>almost all of the reduction in FDI caused by the financial crisis occurred in the industrial sectors, with manufacturing being the worst affected (GSO, 2009b). FDI in agriculture and downstream agro-processing also declined, although these were among the least affected sectors. By contrast, FDI in the transport sector rose during the crisis, possibly explaining its continued growth while other secto</w:t>
      </w:r>
      <w:r w:rsidR="00282B62">
        <w:t>rs declined (Section 2). Using 2007 trends as a baseline and</w:t>
      </w:r>
      <w:r>
        <w:t xml:space="preserve"> excluding the transport sector, FDI inflows to Vietnam were more than 20</w:t>
      </w:r>
      <w:r w:rsidR="00A22A97">
        <w:t>%</w:t>
      </w:r>
      <w:r>
        <w:t xml:space="preserve"> below what they would have been had the financial crisis not occurred. </w:t>
      </w:r>
      <w:r w:rsidR="00797985">
        <w:t>The decline in FDI has implications for growth in both contemporaneous and future periods.</w:t>
      </w:r>
    </w:p>
    <w:p w:rsidR="006578CD" w:rsidRDefault="006578CD" w:rsidP="00056ED5">
      <w:pPr>
        <w:spacing w:after="120"/>
        <w:rPr>
          <w:i/>
        </w:rPr>
      </w:pPr>
      <w:r>
        <w:rPr>
          <w:i/>
        </w:rPr>
        <w:t>World commodity prices and foreign trade</w:t>
      </w:r>
    </w:p>
    <w:p w:rsidR="006578CD" w:rsidRDefault="006578CD" w:rsidP="00056ED5">
      <w:pPr>
        <w:spacing w:after="120"/>
        <w:jc w:val="both"/>
      </w:pPr>
      <w:r>
        <w:t xml:space="preserve">World commodity prices rose rapidly in late-2007 and peaked in mid-2008 (Figure 3). Food and energy prices rose especially fast, with the largest increases recorded for rice and crude oil. Both of these commodities are major exports for Vietnam, generating a quarter of export earnings. Smaller price increases were recorded for major imports, such as metals and machinery. </w:t>
      </w:r>
      <w:r w:rsidR="00A17AA5">
        <w:t>O</w:t>
      </w:r>
      <w:r>
        <w:t xml:space="preserve">verall, the 2008 commodity crisis improved Vietnam's terms-of-trade. However, rising prices generated worldwide concern for food security, and prompted Vietnam to ban </w:t>
      </w:r>
      <w:r w:rsidR="00100BE7">
        <w:t xml:space="preserve">incremental </w:t>
      </w:r>
      <w:r>
        <w:t xml:space="preserve">rice exports during the first half of 2008. </w:t>
      </w:r>
      <w:r w:rsidR="00100BE7">
        <w:t xml:space="preserve">In other words, planned </w:t>
      </w:r>
      <w:r w:rsidR="00797985">
        <w:t xml:space="preserve">exports </w:t>
      </w:r>
      <w:r w:rsidR="00100BE7">
        <w:t>were permitted to continue (and to reap the terms of trade gain). However, agents were prevented from increasing export levels thus preventing reallocation of domestic supplies to exports in response to higher world prices.</w:t>
      </w:r>
      <w:r w:rsidR="004A4CEF">
        <w:t xml:space="preserve"> </w:t>
      </w:r>
    </w:p>
    <w:p w:rsidR="006578CD" w:rsidRPr="003601EF" w:rsidRDefault="006578CD" w:rsidP="00056ED5">
      <w:pPr>
        <w:spacing w:after="120"/>
        <w:jc w:val="center"/>
      </w:pPr>
      <w:r>
        <w:t>[Figure 3: World prices]</w:t>
      </w:r>
    </w:p>
    <w:p w:rsidR="006578CD" w:rsidRDefault="006578CD" w:rsidP="00056ED5">
      <w:pPr>
        <w:spacing w:after="120"/>
        <w:jc w:val="both"/>
      </w:pPr>
      <w:r>
        <w:t>The financial crisis and subsequent global recession caused world prices to fall rapidly</w:t>
      </w:r>
      <w:r w:rsidR="00DE0931">
        <w:t xml:space="preserve"> </w:t>
      </w:r>
      <w:r>
        <w:t>to levels similar to those of 2007. Crude oil prices initially declined below 2007 levels, thus having a detrimental effect on Vietnam’s terms-of-trade</w:t>
      </w:r>
      <w:r w:rsidR="00A17AA5">
        <w:t xml:space="preserve">, but </w:t>
      </w:r>
      <w:r>
        <w:t>prices had returned to 20</w:t>
      </w:r>
      <w:r w:rsidR="004A4CEF">
        <w:t>07</w:t>
      </w:r>
      <w:r>
        <w:t xml:space="preserve"> levels by late-2009. Moreover, food prices remained similar to or even above 2007 levels throughout the financial crisis. By contrast, metals and minerals prices fell below 2007 levels and their rebound by late-2009 remained fairly modest. This suggests that Vietnam’s import prices may have fallen by more than export prices during the financial crisis. It also underlines the divergent effects of the commodity and financial crises.</w:t>
      </w:r>
    </w:p>
    <w:p w:rsidR="006578CD" w:rsidRDefault="006578CD" w:rsidP="00056ED5">
      <w:pPr>
        <w:spacing w:after="120"/>
        <w:jc w:val="both"/>
      </w:pPr>
      <w:r>
        <w:t>Changes in world prices reflect shifts in global demand. Vietnam is a very open economy and, as such, is vulnerable to falling export demand. Merchandise exports fell during the first quarter of 2009 relative to the quarterly average for 2008. Most of this decline was driven by agriculture, food and textiles, where exports fell by about 40</w:t>
      </w:r>
      <w:r w:rsidR="00A22A97">
        <w:t>%</w:t>
      </w:r>
      <w:r>
        <w:t xml:space="preserve">. Crude oil exports remained relatively stable, albeit below peak 2008 values. Moreover, some export sectors expanded during the crisis, most notably high-value minerals. Ultimately, while the value of most export products declined during the financial crisis, by mid-2009 they had again surpassed 2007 levels. This may reflect price-inelastic demand for many of Vietnam’s exported products, such as grains and low-value clothing. </w:t>
      </w:r>
    </w:p>
    <w:p w:rsidR="006578CD" w:rsidRDefault="006578CD" w:rsidP="00056ED5">
      <w:pPr>
        <w:spacing w:after="120"/>
        <w:jc w:val="center"/>
      </w:pPr>
      <w:r>
        <w:t xml:space="preserve"> [Table 2: Trade values]</w:t>
      </w:r>
    </w:p>
    <w:p w:rsidR="006578CD" w:rsidRDefault="006578CD" w:rsidP="00056ED5">
      <w:pPr>
        <w:spacing w:after="120"/>
        <w:jc w:val="both"/>
      </w:pPr>
      <w:r>
        <w:t>There were also substantial declines in import demand, which almost halved during the first quarter of 2009. This was driven by falling FDI, which is highly import-intensive and accounted for about 40</w:t>
      </w:r>
      <w:r w:rsidR="00A22A97">
        <w:t>%</w:t>
      </w:r>
      <w:r>
        <w:t xml:space="preserve"> of merchandise imports in 2008 (GSO, 2009a). Lower inflation and some depreciation of the nominal exchange rate also helped reduce import demand (Figure 2). Ultimately, imports declined by more than exports </w:t>
      </w:r>
      <w:r w:rsidR="00DE0931">
        <w:t>pushing the trade balance into</w:t>
      </w:r>
      <w:r>
        <w:t xml:space="preserve"> surplus in </w:t>
      </w:r>
      <w:r w:rsidR="00E77F5B">
        <w:t xml:space="preserve">the first three months of </w:t>
      </w:r>
      <w:r>
        <w:t xml:space="preserve">2009. This raised national </w:t>
      </w:r>
      <w:r>
        <w:lastRenderedPageBreak/>
        <w:t xml:space="preserve">GDP and offset declining foreign investment. The strong links between FDI and imports reduces the risks typically associated with current account deficits. While the decline in FDI clearly translated into reduced investment and hence reduced future growth, it also eliminated the current account deficit thus obviating the frequently experienced need to restructure the economy to produce more </w:t>
      </w:r>
      <w:proofErr w:type="spellStart"/>
      <w:r>
        <w:t>tradables</w:t>
      </w:r>
      <w:proofErr w:type="spellEnd"/>
      <w:r>
        <w:t xml:space="preserve"> and fewer </w:t>
      </w:r>
      <w:proofErr w:type="spellStart"/>
      <w:r>
        <w:t>nontradables</w:t>
      </w:r>
      <w:proofErr w:type="spellEnd"/>
      <w:r>
        <w:t xml:space="preserve"> when a principal source of foreign exchange declines. This automatic stabilization mechanism explains some of the resilience of Vietnam's economic performance during the financial crisis.  </w:t>
      </w:r>
    </w:p>
    <w:p w:rsidR="006578CD" w:rsidRDefault="006578CD" w:rsidP="00056ED5">
      <w:pPr>
        <w:spacing w:after="120"/>
        <w:rPr>
          <w:i/>
        </w:rPr>
      </w:pPr>
      <w:r>
        <w:rPr>
          <w:i/>
        </w:rPr>
        <w:t>Government stimulus package</w:t>
      </w:r>
    </w:p>
    <w:p w:rsidR="006578CD" w:rsidRDefault="006578CD" w:rsidP="00056ED5">
      <w:pPr>
        <w:spacing w:after="120"/>
        <w:jc w:val="both"/>
      </w:pPr>
      <w:r>
        <w:t xml:space="preserve">As in many countries, Vietnam’s government </w:t>
      </w:r>
      <w:r w:rsidR="00A17AA5">
        <w:t xml:space="preserve">put in place </w:t>
      </w:r>
      <w:r>
        <w:t xml:space="preserve">a stimulus package in early-2009 to bolster investment and private consumption during the financial crisis. The International Monetary Fund estimated that Vietnam’s proposed stimulus package was worth US$4billion, although the official budget was US$8.6million (Table 3). </w:t>
      </w:r>
      <w:r w:rsidR="000D229B">
        <w:t xml:space="preserve">A </w:t>
      </w:r>
      <w:r>
        <w:t xml:space="preserve">large component of the stimulus package was a </w:t>
      </w:r>
      <w:r w:rsidR="00A22A97">
        <w:t>4%</w:t>
      </w:r>
      <w:r>
        <w:t xml:space="preserve"> interest rate subsidy, which is estimated to have generated US$24.1billion in additional lending. About 68</w:t>
      </w:r>
      <w:r w:rsidR="00A22A97">
        <w:t>%</w:t>
      </w:r>
      <w:r>
        <w:t xml:space="preserve"> of these subsidies went to private businesses and 17</w:t>
      </w:r>
      <w:r w:rsidR="00A22A97">
        <w:t>%</w:t>
      </w:r>
      <w:r>
        <w:t xml:space="preserve"> to households. The intended impact of the stimulus package was to offset some of the declines in foreign investment, and may explain the strong growth in construction from mid-2009 onwards.</w:t>
      </w:r>
    </w:p>
    <w:p w:rsidR="006578CD" w:rsidRDefault="006578CD" w:rsidP="00056ED5">
      <w:pPr>
        <w:spacing w:after="120"/>
        <w:jc w:val="center"/>
      </w:pPr>
      <w:r>
        <w:t>[Table 3: Stimulus package]</w:t>
      </w:r>
    </w:p>
    <w:p w:rsidR="006578CD" w:rsidRDefault="006578CD" w:rsidP="00056ED5">
      <w:pPr>
        <w:spacing w:after="120"/>
        <w:jc w:val="both"/>
      </w:pPr>
      <w:r>
        <w:t>The largest component of the stimulus package is ‘advanced capital’, which brings forward planned investments from future budgets. The government announced that half of the funds would be devoted to transport infrastructure and the rest would be divided evenly between agriculture and small businesses. It is unclear how much of these funds were actually disbursed</w:t>
      </w:r>
      <w:r w:rsidR="00A17AA5">
        <w:t xml:space="preserve">, but </w:t>
      </w:r>
      <w:r>
        <w:t>the government announced in late-2009 that it would implement a US$3.3billion stimulus package targeting agriculture and rural development. Most of these funds have been allocated to infrastructure, including irrigation, grain storage and farm machinery. Finally, in its original stimulus package the government directly targeted households via tax relief and social transfers.</w:t>
      </w:r>
    </w:p>
    <w:p w:rsidR="006578CD" w:rsidRPr="00503B0C" w:rsidRDefault="006578CD" w:rsidP="00056ED5">
      <w:pPr>
        <w:spacing w:after="120"/>
        <w:jc w:val="both"/>
        <w:rPr>
          <w:i/>
        </w:rPr>
      </w:pPr>
      <w:r>
        <w:rPr>
          <w:i/>
        </w:rPr>
        <w:t xml:space="preserve">Household consumption </w:t>
      </w:r>
    </w:p>
    <w:p w:rsidR="006578CD" w:rsidRDefault="00797985" w:rsidP="00056ED5">
      <w:pPr>
        <w:spacing w:after="120"/>
        <w:jc w:val="both"/>
      </w:pPr>
      <w:r>
        <w:t>To date, n</w:t>
      </w:r>
      <w:r w:rsidR="006578CD">
        <w:t xml:space="preserve">o firm quantitative evidence exists which can gauge the effects of the crises on private consumption. However, there are a range of impact channels that should be considered. The first channel is via </w:t>
      </w:r>
      <w:r w:rsidR="006578CD" w:rsidRPr="00D62323">
        <w:rPr>
          <w:i/>
        </w:rPr>
        <w:t>domestic prices</w:t>
      </w:r>
      <w:r w:rsidR="006578CD">
        <w:t xml:space="preserve">. The effect of world price changes depends on the degree of price transmission and the composition of households’ incomes and expenditures. </w:t>
      </w:r>
      <w:r w:rsidR="001A726F">
        <w:t>Some e</w:t>
      </w:r>
      <w:r w:rsidR="006578CD">
        <w:t>mpirical studies indicate that international to domestic price transmission is high in Vietnam (</w:t>
      </w:r>
      <w:proofErr w:type="spellStart"/>
      <w:r w:rsidR="006578CD">
        <w:t>Rapsomanikis</w:t>
      </w:r>
      <w:proofErr w:type="spellEnd"/>
      <w:r w:rsidR="006578CD">
        <w:t xml:space="preserve"> and Sarris, 2007). This is </w:t>
      </w:r>
      <w:r w:rsidR="001A726F">
        <w:t xml:space="preserve">potentially </w:t>
      </w:r>
      <w:r w:rsidR="006578CD">
        <w:t>important for food products, which comprise 47</w:t>
      </w:r>
      <w:r w:rsidR="001E74EF">
        <w:t>%</w:t>
      </w:r>
      <w:r w:rsidR="006578CD">
        <w:t xml:space="preserve"> and 33</w:t>
      </w:r>
      <w:r w:rsidR="00A22A97">
        <w:t>%</w:t>
      </w:r>
      <w:r w:rsidR="006578CD">
        <w:t xml:space="preserve"> of rural and urban households’ consumption baskets </w:t>
      </w:r>
      <w:r w:rsidR="003A4EC6">
        <w:t xml:space="preserve">respectively </w:t>
      </w:r>
      <w:r w:rsidR="006578CD">
        <w:t xml:space="preserve">(Arndt et al., 2009). Food is also a larger consumption item for low-income consumers, implying that changes in world food prices could have significant implications for poverty. However, households, especially the poor in rural areas, often produce their own food. Indeed, home production accounts for about a third of total consumption in Vietnam. World price impacts will be substantially smaller for those households that produce a large share of their own consumer goods, </w:t>
      </w:r>
      <w:r w:rsidR="001A05C9">
        <w:t>and the degree of price transmission remains subject to debate (Abbott et. al, 2009)</w:t>
      </w:r>
      <w:r w:rsidR="006578CD">
        <w:t xml:space="preserve">. </w:t>
      </w:r>
    </w:p>
    <w:p w:rsidR="006578CD" w:rsidRDefault="006578CD" w:rsidP="00056ED5">
      <w:pPr>
        <w:spacing w:after="120"/>
        <w:jc w:val="both"/>
      </w:pPr>
      <w:r>
        <w:lastRenderedPageBreak/>
        <w:t xml:space="preserve">The second channel is via </w:t>
      </w:r>
      <w:r w:rsidRPr="005A206C">
        <w:rPr>
          <w:i/>
        </w:rPr>
        <w:t>employment and wages</w:t>
      </w:r>
      <w:r>
        <w:t>. Although national GDP did not fall in 2008-2009, there were larger adjustments at the firm-level. Vietnam’s government estimates that 80,000 jobs were lost in the early stages of the financial crisis and that the total job losses may be as high as 400,000 (cited in Van 2008). Many factories ceased production in early-2009 causing un</w:t>
      </w:r>
      <w:r w:rsidR="00AB4F86">
        <w:t>employment rates to rise</w:t>
      </w:r>
      <w:r>
        <w:t xml:space="preserve">. Moreover, the government suggests that a million workers were ‘affected’ by the crisis, meaning that workers who retained their jobs earn lower wages. Thus, the impact of the crisis on employment and wages depends on shifts in firms’ profitability and labor demand. </w:t>
      </w:r>
    </w:p>
    <w:p w:rsidR="006578CD" w:rsidRDefault="006578CD" w:rsidP="00056ED5">
      <w:pPr>
        <w:spacing w:after="120"/>
        <w:jc w:val="both"/>
      </w:pPr>
      <w:r>
        <w:t xml:space="preserve">The final impact channel is </w:t>
      </w:r>
      <w:r w:rsidRPr="00E96089">
        <w:rPr>
          <w:i/>
        </w:rPr>
        <w:t>taxes and transfers</w:t>
      </w:r>
      <w:r>
        <w:t>. Vietnamese households received US$3.5</w:t>
      </w:r>
      <w:r w:rsidR="00AB4F86">
        <w:t xml:space="preserve"> </w:t>
      </w:r>
      <w:r>
        <w:t>billion</w:t>
      </w:r>
      <w:r w:rsidRPr="009D030D">
        <w:t xml:space="preserve"> </w:t>
      </w:r>
      <w:r>
        <w:t>in foreign transfers in 2007. This was US$44 per capita or 7.3</w:t>
      </w:r>
      <w:r w:rsidR="00A22A97">
        <w:t>%</w:t>
      </w:r>
      <w:r>
        <w:t xml:space="preserve"> of total household income. Projections indicate that remittances fell by </w:t>
      </w:r>
      <w:r w:rsidR="00A22A97">
        <w:t>8%</w:t>
      </w:r>
      <w:r>
        <w:t xml:space="preserve"> in 2009 (World Bank, 2009c). This may not directly affect poverty, however, since higher-income households receive most remittances. For instance, transfers from abroad generated 15</w:t>
      </w:r>
      <w:r w:rsidR="00A22A97">
        <w:t>%</w:t>
      </w:r>
      <w:r>
        <w:t xml:space="preserve"> of incomes for households in the top income quintile in 2007, but less than </w:t>
      </w:r>
      <w:r w:rsidR="00A22A97">
        <w:t>2%</w:t>
      </w:r>
      <w:r>
        <w:t xml:space="preserve"> of incomes for the bottom three quintiles (Arndt et al., 2009). Moreover, some households will benefit from new social transfers in the government's stimulus package. Existing social transfers averaged US$27 per capita in 2007 and were biased towards urban households in the middle of the income distribution. </w:t>
      </w:r>
    </w:p>
    <w:p w:rsidR="006578CD" w:rsidRDefault="006578CD" w:rsidP="00056ED5">
      <w:pPr>
        <w:spacing w:after="120"/>
        <w:jc w:val="both"/>
      </w:pPr>
      <w:r>
        <w:t>In summary, this section has suggested why national GDP growth in Vietnam did not collapse during the two crises. The 2008 commodity crisis improved terms-of-trade, especially for agriculture</w:t>
      </w:r>
      <w:r w:rsidR="00ED33E0">
        <w:t>, prior to policy intervention</w:t>
      </w:r>
      <w:r>
        <w:t>. Evidence also indicates that falling FDI during the 2009 financial crisis</w:t>
      </w:r>
      <w:r w:rsidR="00ED33E0">
        <w:t xml:space="preserve"> was associated with a dramatic decline in imports and</w:t>
      </w:r>
      <w:r>
        <w:t xml:space="preserve"> was </w:t>
      </w:r>
      <w:r w:rsidR="00ED33E0">
        <w:t xml:space="preserve">further </w:t>
      </w:r>
      <w:r>
        <w:t xml:space="preserve">offset by the government's stimulus package. Throughout the crisis, the financial sector remained insulated from disruptions in developed countries’ financial systems. However, there is so far little quantitative evidence on the distributional impacts on private consumption or welfare effects on different population groups. </w:t>
      </w:r>
    </w:p>
    <w:p w:rsidR="006578CD" w:rsidRDefault="006578CD" w:rsidP="00056ED5">
      <w:pPr>
        <w:spacing w:after="120"/>
        <w:rPr>
          <w:b/>
        </w:rPr>
      </w:pPr>
    </w:p>
    <w:p w:rsidR="006578CD" w:rsidRPr="00175B67" w:rsidRDefault="006578CD" w:rsidP="00056ED5">
      <w:pPr>
        <w:spacing w:after="120"/>
        <w:rPr>
          <w:b/>
        </w:rPr>
      </w:pPr>
      <w:r>
        <w:rPr>
          <w:b/>
        </w:rPr>
        <w:t>4</w:t>
      </w:r>
      <w:r w:rsidRPr="00175B67">
        <w:rPr>
          <w:b/>
        </w:rPr>
        <w:t xml:space="preserve">. </w:t>
      </w:r>
      <w:r>
        <w:rPr>
          <w:b/>
        </w:rPr>
        <w:t>ECONOMY-WIDE MODELING FRAMEWORK</w:t>
      </w:r>
    </w:p>
    <w:p w:rsidR="006578CD" w:rsidRDefault="006578CD" w:rsidP="00056ED5">
      <w:pPr>
        <w:spacing w:after="120"/>
        <w:rPr>
          <w:i/>
        </w:rPr>
      </w:pPr>
      <w:r>
        <w:rPr>
          <w:i/>
        </w:rPr>
        <w:t>A c</w:t>
      </w:r>
      <w:r w:rsidRPr="00A860DA">
        <w:rPr>
          <w:i/>
        </w:rPr>
        <w:t xml:space="preserve">ore general equilibrium model </w:t>
      </w:r>
    </w:p>
    <w:p w:rsidR="006578CD" w:rsidRDefault="006578CD" w:rsidP="00056ED5">
      <w:pPr>
        <w:spacing w:after="120"/>
        <w:jc w:val="both"/>
      </w:pPr>
      <w:r>
        <w:t xml:space="preserve">Table 4 </w:t>
      </w:r>
      <w:r w:rsidRPr="00BB45CE">
        <w:t xml:space="preserve">presents the equations of a simple </w:t>
      </w:r>
      <w:r>
        <w:t>D</w:t>
      </w:r>
      <w:r w:rsidRPr="00BB45CE">
        <w:t xml:space="preserve">CGE model illustrating how </w:t>
      </w:r>
      <w:r>
        <w:t>changes in world prices and foreign capital inflows a</w:t>
      </w:r>
      <w:r w:rsidRPr="00BB45CE">
        <w:t xml:space="preserve">ffect </w:t>
      </w:r>
      <w:r>
        <w:t>employment and household incomes</w:t>
      </w:r>
      <w:r w:rsidRPr="00BB45CE">
        <w:t xml:space="preserve">. Producers </w:t>
      </w:r>
      <w:r>
        <w:t xml:space="preserve">of each commodity </w:t>
      </w:r>
      <w:r w:rsidRPr="004B1457">
        <w:rPr>
          <w:i/>
        </w:rPr>
        <w:t>c</w:t>
      </w:r>
      <w:r w:rsidRPr="00BB45CE">
        <w:t xml:space="preserve"> produce a level of output </w:t>
      </w:r>
      <w:r w:rsidRPr="00BB45CE">
        <w:rPr>
          <w:i/>
        </w:rPr>
        <w:t>Q</w:t>
      </w:r>
      <w:r w:rsidRPr="00BB45CE">
        <w:t xml:space="preserve"> by employing the factors of production </w:t>
      </w:r>
      <w:r w:rsidRPr="00AC03D4">
        <w:rPr>
          <w:i/>
        </w:rPr>
        <w:t>F</w:t>
      </w:r>
      <w:r w:rsidRPr="00BB45CE">
        <w:t xml:space="preserve"> under constant returns to scale (exogenous productivity </w:t>
      </w:r>
      <w:r w:rsidRPr="00BB45CE">
        <w:rPr>
          <w:i/>
        </w:rPr>
        <w:t>α</w:t>
      </w:r>
      <w:r w:rsidRPr="00BB45CE">
        <w:t xml:space="preserve">) and fixed production technologies (fixed factor </w:t>
      </w:r>
      <w:r>
        <w:t xml:space="preserve">input </w:t>
      </w:r>
      <w:r w:rsidRPr="00BB45CE">
        <w:t xml:space="preserve">shares </w:t>
      </w:r>
      <w:r w:rsidRPr="00BB45CE">
        <w:rPr>
          <w:i/>
        </w:rPr>
        <w:t>δ</w:t>
      </w:r>
      <w:r w:rsidRPr="00BB45CE">
        <w:t xml:space="preserve">) (eq. [1]). Profit maximization implies that factor payments </w:t>
      </w:r>
      <w:r w:rsidRPr="00BB45CE">
        <w:rPr>
          <w:i/>
        </w:rPr>
        <w:t>W</w:t>
      </w:r>
      <w:r w:rsidRPr="00BB45CE">
        <w:t xml:space="preserve"> are equal to average production revenues (eq. [2]). </w:t>
      </w:r>
      <w:r>
        <w:t>Total l</w:t>
      </w:r>
      <w:r w:rsidRPr="00BB45CE">
        <w:t xml:space="preserve">abor, land and capital supply </w:t>
      </w:r>
      <w:r>
        <w:rPr>
          <w:i/>
        </w:rPr>
        <w:t>s</w:t>
      </w:r>
      <w:r w:rsidRPr="00BB45CE">
        <w:t xml:space="preserve"> are fixed, implying full employment </w:t>
      </w:r>
      <w:r>
        <w:t>and inter-sector mobility</w:t>
      </w:r>
      <w:r w:rsidRPr="00BB45CE">
        <w:t xml:space="preserve"> (eq. [10]). </w:t>
      </w:r>
      <w:r>
        <w:t xml:space="preserve">This means that declining farm/factory production causes factor demand to fall, which in turn lowers economy-wide factor returns and affects production in other sectors. </w:t>
      </w:r>
    </w:p>
    <w:p w:rsidR="006578CD" w:rsidRPr="00BB45CE" w:rsidRDefault="006578CD" w:rsidP="00056ED5">
      <w:pPr>
        <w:spacing w:after="120"/>
        <w:jc w:val="center"/>
      </w:pPr>
      <w:r>
        <w:t>[Table 4: Model equations]</w:t>
      </w:r>
    </w:p>
    <w:p w:rsidR="006578CD" w:rsidRPr="00BB45CE" w:rsidRDefault="006578CD" w:rsidP="00056ED5">
      <w:pPr>
        <w:spacing w:after="120"/>
        <w:jc w:val="both"/>
      </w:pPr>
      <w:r>
        <w:t xml:space="preserve">Foreign </w:t>
      </w:r>
      <w:r w:rsidRPr="00BB45CE">
        <w:t xml:space="preserve">trade </w:t>
      </w:r>
      <w:r>
        <w:t xml:space="preserve">is determined </w:t>
      </w:r>
      <w:r w:rsidRPr="00BB45CE">
        <w:t xml:space="preserve">by comparing domestic </w:t>
      </w:r>
      <w:r>
        <w:t xml:space="preserve">and </w:t>
      </w:r>
      <w:r w:rsidRPr="00BB45CE">
        <w:t>world prices</w:t>
      </w:r>
      <w:r>
        <w:t xml:space="preserve">, where the latter are </w:t>
      </w:r>
      <w:r w:rsidRPr="00BB45CE">
        <w:t xml:space="preserve">fixed under a small country assumption. The simple model </w:t>
      </w:r>
      <w:r>
        <w:t xml:space="preserve">implements </w:t>
      </w:r>
      <w:r w:rsidRPr="00BB45CE">
        <w:t xml:space="preserve">trade as a </w:t>
      </w:r>
      <w:proofErr w:type="spellStart"/>
      <w:r w:rsidRPr="00BB45CE">
        <w:t>compl</w:t>
      </w:r>
      <w:r>
        <w:t>eme</w:t>
      </w:r>
      <w:r w:rsidRPr="00BB45CE">
        <w:t>ntarity</w:t>
      </w:r>
      <w:proofErr w:type="spellEnd"/>
      <w:r w:rsidRPr="00BB45CE">
        <w:t xml:space="preserve"> problem. If domestic prices exceed world import prices </w:t>
      </w:r>
      <w:r w:rsidRPr="00BB45CE">
        <w:rPr>
          <w:i/>
        </w:rPr>
        <w:t>w</w:t>
      </w:r>
      <w:r w:rsidRPr="00BB45CE">
        <w:rPr>
          <w:i/>
          <w:vertAlign w:val="superscript"/>
        </w:rPr>
        <w:t>m</w:t>
      </w:r>
      <w:r w:rsidRPr="00BB45CE">
        <w:t xml:space="preserve"> (adjusted </w:t>
      </w:r>
      <w:r>
        <w:t xml:space="preserve">by </w:t>
      </w:r>
      <w:r w:rsidRPr="00BB45CE">
        <w:t xml:space="preserve">exchange rate </w:t>
      </w:r>
      <w:r w:rsidRPr="00BB45CE">
        <w:rPr>
          <w:i/>
        </w:rPr>
        <w:t>E</w:t>
      </w:r>
      <w:r w:rsidRPr="00BB45CE">
        <w:t xml:space="preserve">) then the quantity of </w:t>
      </w:r>
      <w:r w:rsidRPr="00BB45CE">
        <w:lastRenderedPageBreak/>
        <w:t>import</w:t>
      </w:r>
      <w:r>
        <w:t>s</w:t>
      </w:r>
      <w:r w:rsidRPr="00BB45CE">
        <w:t xml:space="preserve"> </w:t>
      </w:r>
      <w:r w:rsidRPr="00BB45CE">
        <w:rPr>
          <w:i/>
        </w:rPr>
        <w:t>M</w:t>
      </w:r>
      <w:r w:rsidRPr="00BB45CE">
        <w:t xml:space="preserve"> increases (eq. [3]). Conversely, if domestic prices fall below world export prices </w:t>
      </w:r>
      <w:r w:rsidRPr="00BB45CE">
        <w:rPr>
          <w:i/>
        </w:rPr>
        <w:t>w</w:t>
      </w:r>
      <w:r w:rsidRPr="00BB45CE">
        <w:rPr>
          <w:i/>
          <w:vertAlign w:val="superscript"/>
        </w:rPr>
        <w:t>e</w:t>
      </w:r>
      <w:r w:rsidRPr="00BB45CE">
        <w:t xml:space="preserve"> then export demand </w:t>
      </w:r>
      <w:r w:rsidRPr="00BB45CE">
        <w:rPr>
          <w:i/>
        </w:rPr>
        <w:t>X</w:t>
      </w:r>
      <w:r w:rsidRPr="00BB45CE">
        <w:t xml:space="preserve"> increases (eq. [4]). To ensure macroeconomic consistency, </w:t>
      </w:r>
      <w:r>
        <w:t xml:space="preserve">a flexible real </w:t>
      </w:r>
      <w:r w:rsidRPr="00BB45CE">
        <w:t xml:space="preserve">exchange rate </w:t>
      </w:r>
      <w:r>
        <w:t xml:space="preserve">adjusts to maintain a fixed </w:t>
      </w:r>
      <w:r w:rsidRPr="00BB45CE">
        <w:t xml:space="preserve">current account balance </w:t>
      </w:r>
      <w:r w:rsidRPr="00BB45CE">
        <w:rPr>
          <w:i/>
        </w:rPr>
        <w:t>b</w:t>
      </w:r>
      <w:r w:rsidRPr="00BB45CE">
        <w:t xml:space="preserve"> </w:t>
      </w:r>
      <w:r>
        <w:t xml:space="preserve">(measured </w:t>
      </w:r>
      <w:r w:rsidRPr="00BB45CE">
        <w:t>in foreign currency</w:t>
      </w:r>
      <w:r>
        <w:t xml:space="preserve"> units)</w:t>
      </w:r>
      <w:r w:rsidRPr="00BB45CE">
        <w:t xml:space="preserve"> (eq. [8]). </w:t>
      </w:r>
      <w:r>
        <w:t xml:space="preserve">This means that falling world prices reduces exports and causes the real exchange rate to depreciate in order to enhance other export producers' competitiveness and reduce overall import demand. Similarly, reducing FDI inflows (i.e., lowering </w:t>
      </w:r>
      <w:r w:rsidRPr="00FC0009">
        <w:rPr>
          <w:i/>
        </w:rPr>
        <w:t>b</w:t>
      </w:r>
      <w:r>
        <w:t>) causes the real exchange rate to depreciate.</w:t>
      </w:r>
    </w:p>
    <w:p w:rsidR="006578CD" w:rsidRDefault="006578CD" w:rsidP="00056ED5">
      <w:pPr>
        <w:spacing w:after="120"/>
        <w:jc w:val="both"/>
      </w:pPr>
      <w:r w:rsidRPr="00BB45CE">
        <w:t xml:space="preserve">Factor incomes are distributed to households using fixed income shares θ based on households’ initial factor endowments </w:t>
      </w:r>
      <w:r>
        <w:t xml:space="preserve">and are combined foreign remittances </w:t>
      </w:r>
      <w:r w:rsidRPr="00691783">
        <w:rPr>
          <w:i/>
        </w:rPr>
        <w:t>r</w:t>
      </w:r>
      <w:r>
        <w:t xml:space="preserve"> adjusted by the exchange rate </w:t>
      </w:r>
      <w:r w:rsidRPr="00BB45CE">
        <w:t xml:space="preserve">(eq. [5]). </w:t>
      </w:r>
      <w:r>
        <w:t>I</w:t>
      </w:r>
      <w:r w:rsidRPr="00BB45CE">
        <w:t xml:space="preserve">ncomes </w:t>
      </w:r>
      <w:r w:rsidRPr="00BB45CE">
        <w:rPr>
          <w:i/>
        </w:rPr>
        <w:t>Y</w:t>
      </w:r>
      <w:r w:rsidRPr="00BB45CE">
        <w:t xml:space="preserve"> are then saved (based on marginal propensities to save </w:t>
      </w:r>
      <w:r w:rsidRPr="00BB45CE">
        <w:rPr>
          <w:i/>
        </w:rPr>
        <w:t>υ</w:t>
      </w:r>
      <w:r w:rsidRPr="00BB45CE">
        <w:t xml:space="preserve">) or spent on consumption </w:t>
      </w:r>
      <w:r w:rsidRPr="00BB45CE">
        <w:rPr>
          <w:i/>
        </w:rPr>
        <w:t>C</w:t>
      </w:r>
      <w:r w:rsidRPr="00BB45CE">
        <w:t xml:space="preserve"> (according to marginal budget shares </w:t>
      </w:r>
      <w:r w:rsidRPr="00AC03D4">
        <w:t>β</w:t>
      </w:r>
      <w:r w:rsidRPr="00BB45CE">
        <w:t xml:space="preserve">) (eq. [6]). Household savings and foreign capital inflows are collected in a national savings pool </w:t>
      </w:r>
      <w:r>
        <w:t xml:space="preserve">from which </w:t>
      </w:r>
      <w:r w:rsidRPr="00BB45CE">
        <w:t xml:space="preserve">investment demand </w:t>
      </w:r>
      <w:r w:rsidRPr="003B7079">
        <w:rPr>
          <w:i/>
        </w:rPr>
        <w:t>I</w:t>
      </w:r>
      <w:r w:rsidRPr="00BB45CE">
        <w:t xml:space="preserve"> </w:t>
      </w:r>
      <w:r>
        <w:t xml:space="preserve">is financed </w:t>
      </w:r>
      <w:r w:rsidRPr="00BB45CE">
        <w:t xml:space="preserve">(i.e., </w:t>
      </w:r>
      <w:r>
        <w:t xml:space="preserve">a </w:t>
      </w:r>
      <w:r w:rsidRPr="00BB45CE">
        <w:t>savings-driven investment closure) (eq. [7]). Finally, price</w:t>
      </w:r>
      <w:r>
        <w:t>s</w:t>
      </w:r>
      <w:r w:rsidRPr="00BB45CE">
        <w:t xml:space="preserve"> </w:t>
      </w:r>
      <w:r w:rsidRPr="00AC03D4">
        <w:rPr>
          <w:i/>
        </w:rPr>
        <w:t>P</w:t>
      </w:r>
      <w:r w:rsidRPr="00BB45CE">
        <w:t xml:space="preserve"> equilibrate product markets</w:t>
      </w:r>
      <w:r>
        <w:t xml:space="preserve"> such that demand for each commodity</w:t>
      </w:r>
      <w:r w:rsidRPr="00BB45CE">
        <w:t xml:space="preserve"> </w:t>
      </w:r>
      <w:r>
        <w:t xml:space="preserve">equals supply </w:t>
      </w:r>
      <w:r w:rsidRPr="00BB45CE">
        <w:t xml:space="preserve">(eq. [8]). </w:t>
      </w:r>
      <w:r>
        <w:t>The model therefore links production and trade to household incomes via changes in market prices, employment and factor returns.</w:t>
      </w:r>
    </w:p>
    <w:p w:rsidR="006578CD" w:rsidRDefault="006578CD" w:rsidP="00056ED5">
      <w:pPr>
        <w:spacing w:after="120"/>
        <w:jc w:val="both"/>
      </w:pPr>
      <w:r>
        <w:t xml:space="preserve">The model’s variables and parameters are calibrated to empirical data from a social accounting matrix that captures the initial structure of Vietnam's economy in 2007 (see Arndt et al., 2009). Parameters are then adjusted over time to reflect demographic and economic trends and the model is re-solved for a new equilibrium each half-year during 2007-2011. Between periods the model is updated to reflect exogenous rates of land and labor expansion </w:t>
      </w:r>
      <w:r>
        <w:rPr>
          <w:rFonts w:ascii="Times New Roman" w:hAnsi="Times New Roman" w:cs="Times New Roman"/>
        </w:rPr>
        <w:t>φ</w:t>
      </w:r>
      <w:r>
        <w:t xml:space="preserve"> (eq. [11]). The rate of capital accumulation is determined endogenously, with previous period investment converted into new capital stocks using a fixed capital price κ (eq. [12]). This is added to previous capital stocks after applying a depreciation rate π. Finally, the model captures total factor productivity (TFP) through the production function’s shift parameter α, with the rate of technical change γ determined exogenously.</w:t>
      </w:r>
    </w:p>
    <w:p w:rsidR="006578CD" w:rsidRPr="00A860DA" w:rsidRDefault="006578CD" w:rsidP="00056ED5">
      <w:pPr>
        <w:spacing w:after="120"/>
        <w:rPr>
          <w:i/>
        </w:rPr>
      </w:pPr>
      <w:r w:rsidRPr="00A860DA">
        <w:rPr>
          <w:i/>
        </w:rPr>
        <w:t xml:space="preserve">Extensions </w:t>
      </w:r>
      <w:r>
        <w:rPr>
          <w:i/>
        </w:rPr>
        <w:t>to</w:t>
      </w:r>
      <w:r w:rsidRPr="00A860DA">
        <w:rPr>
          <w:i/>
        </w:rPr>
        <w:t xml:space="preserve"> the full </w:t>
      </w:r>
      <w:r>
        <w:rPr>
          <w:i/>
        </w:rPr>
        <w:t>Vietnam</w:t>
      </w:r>
      <w:r w:rsidRPr="00A860DA">
        <w:rPr>
          <w:i/>
        </w:rPr>
        <w:t xml:space="preserve"> model</w:t>
      </w:r>
    </w:p>
    <w:p w:rsidR="006578CD" w:rsidRDefault="006578CD" w:rsidP="00056ED5">
      <w:pPr>
        <w:spacing w:after="120"/>
        <w:jc w:val="both"/>
      </w:pPr>
      <w:r>
        <w:t>The above model illustrates how production, trade and household incomes are linked in our analysis. However, the full model drops some of the core model's more restrictive assumptions (see Lofgren et al., 2002; Thurlow, 2005). Constant elasticity of substitution production functions allow factor substitution based on relative factor prices (i.e., δ is no longer fixed). The model identifies 66 sectors</w:t>
      </w:r>
      <w:r w:rsidRPr="00BB45CE">
        <w:t xml:space="preserve"> (</w:t>
      </w:r>
      <w:r>
        <w:t>26</w:t>
      </w:r>
      <w:r w:rsidRPr="00BB45CE">
        <w:t xml:space="preserve"> agriculture, </w:t>
      </w:r>
      <w:r>
        <w:t>22</w:t>
      </w:r>
      <w:r w:rsidRPr="00BB45CE">
        <w:t xml:space="preserve"> industr</w:t>
      </w:r>
      <w:r>
        <w:t>y</w:t>
      </w:r>
      <w:r w:rsidRPr="00BB45CE">
        <w:t xml:space="preserve"> and 10 services)</w:t>
      </w:r>
      <w:r>
        <w:t xml:space="preserve">. Intermediate demand in each sector, which was excluded in the core model, is now determined by fixed technology coefficients (i.e., Leontief demand). </w:t>
      </w:r>
    </w:p>
    <w:p w:rsidR="006578CD" w:rsidRDefault="006578CD" w:rsidP="00056ED5">
      <w:pPr>
        <w:spacing w:after="120"/>
        <w:jc w:val="both"/>
      </w:pPr>
      <w:r>
        <w:t>Based on VHLSS 2006, labor markets are segmented across rural/urban areas and four education groups: (1) below primary schooling; (2) completed primary; (3) completed secondary; and (4) tertiary. Agriculture-specific factors include crop land, livestock, and fisheries stocks. All workers have upward-sloping supply curves implying a binding reservation wage.</w:t>
      </w:r>
      <w:r>
        <w:rPr>
          <w:rStyle w:val="FootnoteReference"/>
        </w:rPr>
        <w:footnoteReference w:id="3"/>
      </w:r>
      <w:r>
        <w:t xml:space="preserve"> Agricultural factors are fully employed and earn flexible returns. Capital is immobile and new capital is allocated across sectors based on profit rate differentials under a ‘putty-clay’ specification. This means that once capital is invested it cannot be used for other purposes. When annual profit rates on fixed capital fall by more than 20</w:t>
      </w:r>
      <w:r w:rsidR="00A22A97">
        <w:t>%</w:t>
      </w:r>
      <w:r>
        <w:t xml:space="preserve"> we assume that </w:t>
      </w:r>
      <w:r>
        <w:lastRenderedPageBreak/>
        <w:t xml:space="preserve">capital utilization declines. Unused capital continues to depreciate but is reactivated once profit rates improve. This specification of capital underutilization permits temporary rises in unemployment during the crises while retaining the producers' capacity to expand production under better market conditions. </w:t>
      </w:r>
    </w:p>
    <w:p w:rsidR="006578CD" w:rsidRDefault="006578CD" w:rsidP="00056ED5">
      <w:pPr>
        <w:spacing w:after="120"/>
        <w:jc w:val="both"/>
      </w:pPr>
      <w:r>
        <w:t>I</w:t>
      </w:r>
      <w:r w:rsidRPr="005506C9">
        <w:t>nternational trade is captured by allowing production and consumption to shift imperfectly between domestic and foreign markets, depending on the relative prices of imports, exports and domestic goods</w:t>
      </w:r>
      <w:r>
        <w:t xml:space="preserve"> (inclusive of indirect taxes)</w:t>
      </w:r>
      <w:r w:rsidRPr="005506C9">
        <w:t xml:space="preserve">. This differs from the </w:t>
      </w:r>
      <w:r>
        <w:t>core</w:t>
      </w:r>
      <w:r w:rsidRPr="005506C9">
        <w:t xml:space="preserve"> model, which assumed perfect substitution between domestic and foreign goods (i.e., homogen</w:t>
      </w:r>
      <w:r>
        <w:t>ous products)</w:t>
      </w:r>
      <w:r w:rsidRPr="005506C9">
        <w:t xml:space="preserve">. This </w:t>
      </w:r>
      <w:r>
        <w:t xml:space="preserve">extension </w:t>
      </w:r>
      <w:r w:rsidRPr="005506C9">
        <w:t xml:space="preserve">captures differences in domestic and foreign products and allows for </w:t>
      </w:r>
      <w:r>
        <w:t xml:space="preserve">observed </w:t>
      </w:r>
      <w:r w:rsidRPr="005506C9">
        <w:t xml:space="preserve">two-way trade. </w:t>
      </w:r>
      <w:r>
        <w:t xml:space="preserve">Vietnam </w:t>
      </w:r>
      <w:r w:rsidRPr="005506C9">
        <w:t xml:space="preserve">is </w:t>
      </w:r>
      <w:r>
        <w:t xml:space="preserve">still considered </w:t>
      </w:r>
      <w:r w:rsidRPr="005506C9">
        <w:t xml:space="preserve">a small economy </w:t>
      </w:r>
      <w:r>
        <w:t xml:space="preserve">(i.e., </w:t>
      </w:r>
      <w:r w:rsidRPr="005506C9">
        <w:t>world prices are fixed</w:t>
      </w:r>
      <w:r>
        <w:t xml:space="preserve">). Vietnam’s </w:t>
      </w:r>
      <w:r w:rsidR="00CE7CC4">
        <w:t xml:space="preserve">real </w:t>
      </w:r>
      <w:r>
        <w:t xml:space="preserve">exchange rate </w:t>
      </w:r>
      <w:r w:rsidRPr="005506C9">
        <w:t>(i.e., price index of tradable-to-non</w:t>
      </w:r>
      <w:r>
        <w:t>-</w:t>
      </w:r>
      <w:r w:rsidRPr="005506C9">
        <w:t xml:space="preserve">tradable goods) adjusts to </w:t>
      </w:r>
      <w:r>
        <w:t xml:space="preserve">maintain </w:t>
      </w:r>
      <w:r w:rsidRPr="005506C9">
        <w:t xml:space="preserve">a </w:t>
      </w:r>
      <w:r>
        <w:t xml:space="preserve">constant </w:t>
      </w:r>
      <w:r w:rsidRPr="005506C9">
        <w:t xml:space="preserve">current account balance. Production and trade </w:t>
      </w:r>
      <w:proofErr w:type="spellStart"/>
      <w:r w:rsidRPr="005506C9">
        <w:t>elasticities</w:t>
      </w:r>
      <w:proofErr w:type="spellEnd"/>
      <w:r w:rsidRPr="005506C9">
        <w:t xml:space="preserve"> are drawn from </w:t>
      </w:r>
      <w:proofErr w:type="spellStart"/>
      <w:r w:rsidRPr="005506C9">
        <w:t>Dimaranan</w:t>
      </w:r>
      <w:proofErr w:type="spellEnd"/>
      <w:r w:rsidRPr="005506C9">
        <w:t xml:space="preserve"> (2006).</w:t>
      </w:r>
      <w:r>
        <w:t xml:space="preserve"> </w:t>
      </w:r>
    </w:p>
    <w:p w:rsidR="006578CD" w:rsidRDefault="006578CD" w:rsidP="00056ED5">
      <w:pPr>
        <w:spacing w:after="120"/>
        <w:jc w:val="both"/>
      </w:pPr>
      <w:r w:rsidRPr="006F37EB">
        <w:t xml:space="preserve">Households maximize a Stone-Geary utility function </w:t>
      </w:r>
      <w:r>
        <w:t xml:space="preserve">so </w:t>
      </w:r>
      <w:r w:rsidRPr="006F37EB">
        <w:t xml:space="preserve">that a linear expenditure system determines consumption with non-unitary income </w:t>
      </w:r>
      <w:proofErr w:type="spellStart"/>
      <w:r w:rsidRPr="006F37EB">
        <w:t>elasticities</w:t>
      </w:r>
      <w:proofErr w:type="spellEnd"/>
      <w:r w:rsidRPr="006F37EB">
        <w:t>.</w:t>
      </w:r>
      <w:r>
        <w:rPr>
          <w:rStyle w:val="FootnoteReference"/>
        </w:rPr>
        <w:footnoteReference w:id="4"/>
      </w:r>
      <w:r w:rsidRPr="006F37EB">
        <w:t xml:space="preserve"> Households are disaggregated across rural</w:t>
      </w:r>
      <w:r>
        <w:t xml:space="preserve"> and </w:t>
      </w:r>
      <w:r w:rsidRPr="006F37EB">
        <w:t xml:space="preserve">urban </w:t>
      </w:r>
      <w:r>
        <w:t xml:space="preserve">areas </w:t>
      </w:r>
      <w:r w:rsidRPr="006F37EB">
        <w:t>and by per capita expenditure quintiles</w:t>
      </w:r>
      <w:r>
        <w:t xml:space="preserve">, giving </w:t>
      </w:r>
      <w:r w:rsidRPr="006F37EB">
        <w:t xml:space="preserve">a total of </w:t>
      </w:r>
      <w:r>
        <w:t xml:space="preserve">10 representative </w:t>
      </w:r>
      <w:r w:rsidRPr="006F37EB">
        <w:t>household</w:t>
      </w:r>
      <w:r>
        <w:t>s</w:t>
      </w:r>
      <w:r w:rsidRPr="006F37EB">
        <w:t xml:space="preserve"> in the </w:t>
      </w:r>
      <w:r>
        <w:t>DCGE</w:t>
      </w:r>
      <w:r w:rsidRPr="006F37EB">
        <w:t xml:space="preserve"> model. </w:t>
      </w:r>
      <w:r>
        <w:t>H</w:t>
      </w:r>
      <w:r w:rsidRPr="006F37EB">
        <w:t>ousehold</w:t>
      </w:r>
      <w:r>
        <w:t>s</w:t>
      </w:r>
      <w:r w:rsidRPr="006F37EB">
        <w:t xml:space="preserve"> pay taxes to the government based on fixed direct and indirect tax rates. Tax revenues finance exogenous recurrent spending, resulting in an endogenous fiscal deficit. </w:t>
      </w:r>
      <w:r w:rsidRPr="00CD7E70">
        <w:t xml:space="preserve">Finally, the </w:t>
      </w:r>
      <w:r>
        <w:t>analysis</w:t>
      </w:r>
      <w:r w:rsidRPr="00CD7E70">
        <w:t xml:space="preserve"> includes a </w:t>
      </w:r>
      <w:r>
        <w:t xml:space="preserve">separate </w:t>
      </w:r>
      <w:r w:rsidRPr="00CD7E70">
        <w:t>micro-simulation modul</w:t>
      </w:r>
      <w:r>
        <w:t xml:space="preserve">e. In the module, </w:t>
      </w:r>
      <w:r w:rsidRPr="00CD7E70">
        <w:t xml:space="preserve">each </w:t>
      </w:r>
      <w:r>
        <w:t xml:space="preserve">respondent </w:t>
      </w:r>
      <w:r w:rsidRPr="00CD7E70">
        <w:t xml:space="preserve">in </w:t>
      </w:r>
      <w:r>
        <w:t xml:space="preserve">VHLSS is </w:t>
      </w:r>
      <w:r w:rsidRPr="00CD7E70">
        <w:t xml:space="preserve">linked to </w:t>
      </w:r>
      <w:r>
        <w:t xml:space="preserve">their </w:t>
      </w:r>
      <w:r w:rsidRPr="00CD7E70">
        <w:t xml:space="preserve">corresponding representative household </w:t>
      </w:r>
      <w:r>
        <w:t xml:space="preserve">group </w:t>
      </w:r>
      <w:r w:rsidRPr="00CD7E70">
        <w:t xml:space="preserve">in the </w:t>
      </w:r>
      <w:r>
        <w:t xml:space="preserve">DCGE </w:t>
      </w:r>
      <w:r w:rsidRPr="00CD7E70">
        <w:t xml:space="preserve">model. Changes in commodity </w:t>
      </w:r>
      <w:r>
        <w:t xml:space="preserve">prices and </w:t>
      </w:r>
      <w:r w:rsidRPr="00CD7E70">
        <w:t xml:space="preserve">households’ consumption spending are passed down from the </w:t>
      </w:r>
      <w:r>
        <w:t xml:space="preserve">DCGE </w:t>
      </w:r>
      <w:r w:rsidRPr="00CD7E70">
        <w:t xml:space="preserve">model to the </w:t>
      </w:r>
      <w:r>
        <w:t>micro-simulation module. T</w:t>
      </w:r>
      <w:r w:rsidRPr="00CD7E70">
        <w:t>otal per capita consumption and poverty measures are</w:t>
      </w:r>
      <w:r>
        <w:t xml:space="preserve"> then</w:t>
      </w:r>
      <w:r w:rsidRPr="00CD7E70">
        <w:t xml:space="preserve"> recalculated</w:t>
      </w:r>
      <w:r>
        <w:t xml:space="preserve"> assuming Leontief preferences by individual households.</w:t>
      </w:r>
    </w:p>
    <w:p w:rsidR="006578CD" w:rsidRDefault="006578CD">
      <w:pPr>
        <w:rPr>
          <w:b/>
        </w:rPr>
      </w:pPr>
    </w:p>
    <w:p w:rsidR="006578CD" w:rsidRPr="001A3F2B" w:rsidRDefault="006578CD" w:rsidP="00056ED5">
      <w:pPr>
        <w:spacing w:after="120"/>
        <w:rPr>
          <w:b/>
        </w:rPr>
      </w:pPr>
      <w:r>
        <w:rPr>
          <w:b/>
        </w:rPr>
        <w:t>5</w:t>
      </w:r>
      <w:r w:rsidRPr="001A3F2B">
        <w:rPr>
          <w:b/>
        </w:rPr>
        <w:t xml:space="preserve">. </w:t>
      </w:r>
      <w:r>
        <w:rPr>
          <w:b/>
        </w:rPr>
        <w:t>MODEL SIMULATIONS AND RESULTS</w:t>
      </w:r>
    </w:p>
    <w:p w:rsidR="006578CD" w:rsidRPr="001A3F2B" w:rsidRDefault="006578CD" w:rsidP="00056ED5">
      <w:pPr>
        <w:spacing w:after="120"/>
        <w:rPr>
          <w:i/>
        </w:rPr>
      </w:pPr>
      <w:r w:rsidRPr="001A3F2B">
        <w:rPr>
          <w:i/>
        </w:rPr>
        <w:t>Baseline scenario</w:t>
      </w:r>
      <w:r>
        <w:rPr>
          <w:i/>
        </w:rPr>
        <w:t xml:space="preserve"> </w:t>
      </w:r>
    </w:p>
    <w:p w:rsidR="006578CD" w:rsidRDefault="006578CD" w:rsidP="00B55942">
      <w:pPr>
        <w:spacing w:after="120"/>
        <w:jc w:val="both"/>
      </w:pPr>
      <w:r>
        <w:t>T</w:t>
      </w:r>
      <w:r w:rsidRPr="00EB5B19">
        <w:t xml:space="preserve">he DCGE model </w:t>
      </w:r>
      <w:r>
        <w:t xml:space="preserve">is initially calibrated </w:t>
      </w:r>
      <w:r w:rsidRPr="00EB5B19">
        <w:t xml:space="preserve">to track observed trends in key demographic and macroeconomic indicators. </w:t>
      </w:r>
      <w:r>
        <w:t xml:space="preserve">Annual </w:t>
      </w:r>
      <w:r w:rsidR="000831E6">
        <w:t xml:space="preserve">labor force </w:t>
      </w:r>
      <w:r w:rsidRPr="00EB5B19">
        <w:t xml:space="preserve">growth </w:t>
      </w:r>
      <w:r w:rsidR="001464CE">
        <w:t xml:space="preserve">of about </w:t>
      </w:r>
      <w:r w:rsidR="00A22A97">
        <w:t>2</w:t>
      </w:r>
      <w:r w:rsidR="009433FF">
        <w:t>.</w:t>
      </w:r>
      <w:r w:rsidR="006E4398">
        <w:t>5</w:t>
      </w:r>
      <w:r w:rsidR="00A22A97">
        <w:t>%</w:t>
      </w:r>
      <w:r w:rsidRPr="00EB5B19">
        <w:t xml:space="preserve"> </w:t>
      </w:r>
      <w:r w:rsidR="001464CE">
        <w:t xml:space="preserve">is targeted </w:t>
      </w:r>
      <w:r w:rsidR="00A73383">
        <w:t xml:space="preserve">during </w:t>
      </w:r>
      <w:r w:rsidRPr="00EB5B19">
        <w:t>2007-</w:t>
      </w:r>
      <w:r>
        <w:t>2011 (World Bank, 2009)</w:t>
      </w:r>
      <w:r w:rsidRPr="00EB5B19">
        <w:t xml:space="preserve">. </w:t>
      </w:r>
      <w:r>
        <w:t xml:space="preserve">Higher-educated </w:t>
      </w:r>
      <w:r w:rsidRPr="00EB5B19">
        <w:t xml:space="preserve">labor grows faster than </w:t>
      </w:r>
      <w:r>
        <w:t xml:space="preserve">other </w:t>
      </w:r>
      <w:r w:rsidRPr="00EB5B19">
        <w:t xml:space="preserve">labor </w:t>
      </w:r>
      <w:r>
        <w:t>types</w:t>
      </w:r>
      <w:r w:rsidRPr="00EB5B19">
        <w:t xml:space="preserve"> reflecting </w:t>
      </w:r>
      <w:r>
        <w:t>improvements in human capital stocks</w:t>
      </w:r>
      <w:r w:rsidRPr="00EB5B19">
        <w:t xml:space="preserve">. </w:t>
      </w:r>
      <w:r>
        <w:t xml:space="preserve">For example, based on recent surveys, the supply of workers with </w:t>
      </w:r>
      <w:r w:rsidR="006319F8">
        <w:t xml:space="preserve">tertiary </w:t>
      </w:r>
      <w:r>
        <w:t xml:space="preserve">schooling expands at </w:t>
      </w:r>
      <w:r w:rsidR="006319F8">
        <w:t>6.5</w:t>
      </w:r>
      <w:r w:rsidR="00A22A97">
        <w:t>%</w:t>
      </w:r>
      <w:r>
        <w:t xml:space="preserve"> per year, while the supply of workers with </w:t>
      </w:r>
      <w:r w:rsidR="00ED33E0">
        <w:t xml:space="preserve">only </w:t>
      </w:r>
      <w:r>
        <w:t xml:space="preserve">primary schooling grows at </w:t>
      </w:r>
      <w:r w:rsidR="006319F8">
        <w:t>2</w:t>
      </w:r>
      <w:r>
        <w:t>.</w:t>
      </w:r>
      <w:r w:rsidR="006319F8">
        <w:t>3</w:t>
      </w:r>
      <w:r w:rsidR="00A22A97">
        <w:t>%</w:t>
      </w:r>
      <w:r>
        <w:t xml:space="preserve"> (GSO, 2009b). Technical change is also biased towards higher-educated labor, and is consistent with the negligible deviations in relative wages observed since 2000. </w:t>
      </w:r>
    </w:p>
    <w:p w:rsidR="006578CD" w:rsidRDefault="006578CD" w:rsidP="00B55942">
      <w:pPr>
        <w:spacing w:after="120"/>
        <w:jc w:val="both"/>
      </w:pPr>
      <w:r>
        <w:t>Biased technical change favors skill-intensive sectors. Accordingly, total GDP growth of about 7.5</w:t>
      </w:r>
      <w:r w:rsidR="00A22A97">
        <w:t>%</w:t>
      </w:r>
      <w:r>
        <w:t xml:space="preserve"> per year in the Baseline scenario is driven by industry and services, which grow at about 8.5</w:t>
      </w:r>
      <w:r w:rsidR="00A22A97">
        <w:t>%</w:t>
      </w:r>
      <w:r w:rsidR="006E4398">
        <w:t xml:space="preserve"> during 2007-2011</w:t>
      </w:r>
      <w:r>
        <w:t>. Agriculture grows at a slower 3</w:t>
      </w:r>
      <w:r w:rsidR="00A22A97">
        <w:t>%</w:t>
      </w:r>
      <w:r>
        <w:t xml:space="preserve"> per year. The national US$2-a-day poverty headcount rate declines from 47.3</w:t>
      </w:r>
      <w:r w:rsidR="00A22A97">
        <w:t>%</w:t>
      </w:r>
      <w:r>
        <w:t xml:space="preserve"> in 2007 to 4</w:t>
      </w:r>
      <w:r w:rsidR="00B30D72">
        <w:t>2</w:t>
      </w:r>
      <w:r>
        <w:t>.2</w:t>
      </w:r>
      <w:r w:rsidR="00A22A97">
        <w:t>%</w:t>
      </w:r>
      <w:r>
        <w:t xml:space="preserve"> by 2011. Although poverty declines in both rural and urban areas, slower agricultural growth results in slightly smaller reductions for rural households. A comparison with observed trends for 2005-2007 suggests that this baseline adequately captures Vietnam's growth path </w:t>
      </w:r>
      <w:r>
        <w:lastRenderedPageBreak/>
        <w:t>prior to the commodity and financial crises. The Baseline scenario thus provides a reasonable counterfactual against which we can measure the impacts of the crises.</w:t>
      </w:r>
    </w:p>
    <w:p w:rsidR="006578CD" w:rsidRPr="00B205A1" w:rsidRDefault="006578CD" w:rsidP="00056ED5">
      <w:pPr>
        <w:spacing w:after="120"/>
        <w:rPr>
          <w:i/>
        </w:rPr>
      </w:pPr>
      <w:r w:rsidRPr="00B205A1">
        <w:rPr>
          <w:i/>
        </w:rPr>
        <w:t xml:space="preserve">Simulating the </w:t>
      </w:r>
      <w:r>
        <w:rPr>
          <w:i/>
        </w:rPr>
        <w:t>commodity and financial</w:t>
      </w:r>
      <w:r w:rsidRPr="00B205A1">
        <w:rPr>
          <w:i/>
        </w:rPr>
        <w:t xml:space="preserve"> crises</w:t>
      </w:r>
    </w:p>
    <w:p w:rsidR="006578CD" w:rsidRDefault="006578CD" w:rsidP="002627B0">
      <w:pPr>
        <w:spacing w:after="120"/>
        <w:jc w:val="both"/>
      </w:pPr>
      <w:r>
        <w:t>Section 3 identified impact channels linking the crises to economic growth. Here we describe the shocks imposed on the DCGE model. In the first simulation</w:t>
      </w:r>
      <w:r w:rsidR="00ED33E0">
        <w:t>,</w:t>
      </w:r>
      <w:r>
        <w:t xml:space="preserve"> we estimate the impact of the 2008 commodity crisis. Detailed world prices were taken from World Bank (2009b). The </w:t>
      </w:r>
      <w:r w:rsidRPr="00803D63">
        <w:t>real</w:t>
      </w:r>
      <w:r>
        <w:t xml:space="preserve"> price changes imposed on the model are shown in Table 5 for Vietnam's main traded commodities. In the commodity crisis scenario</w:t>
      </w:r>
      <w:r w:rsidR="00ED33E0">
        <w:t>,</w:t>
      </w:r>
      <w:r>
        <w:t xml:space="preserve"> we only impose the price changes that took place during 2008 (i.e., the first two columns) so this is referred to as the "</w:t>
      </w:r>
      <w:r w:rsidR="00EB571F">
        <w:t>food/fuel</w:t>
      </w:r>
      <w:r>
        <w:t xml:space="preserve">" simulation. </w:t>
      </w:r>
    </w:p>
    <w:p w:rsidR="006578CD" w:rsidRDefault="006578CD" w:rsidP="00F63F84">
      <w:pPr>
        <w:spacing w:after="120"/>
        <w:jc w:val="center"/>
      </w:pPr>
      <w:r>
        <w:t>[Table 5: Shock parameters]</w:t>
      </w:r>
    </w:p>
    <w:p w:rsidR="006578CD" w:rsidRDefault="006578CD" w:rsidP="00677F08">
      <w:pPr>
        <w:spacing w:after="120"/>
        <w:jc w:val="both"/>
      </w:pPr>
      <w:r>
        <w:t>In assessing the 2009 financial crisis</w:t>
      </w:r>
      <w:r w:rsidR="00ED33E0">
        <w:t>,</w:t>
      </w:r>
      <w:r>
        <w:t xml:space="preserve"> we take the results from the “</w:t>
      </w:r>
      <w:r w:rsidR="00107E50">
        <w:t>food/fuel</w:t>
      </w:r>
      <w:r>
        <w:t>” simulation as our starting point</w:t>
      </w:r>
      <w:r w:rsidR="00AB4F86">
        <w:t xml:space="preserve"> (e.g., end 2008)</w:t>
      </w:r>
      <w:r>
        <w:t xml:space="preserve">. We then incrementally include the changes in world prices, foreign investment and foreign remittances. </w:t>
      </w:r>
      <w:r w:rsidR="00CE4DED">
        <w:t xml:space="preserve">In addition, rates of productivity growth are changed in order to track the GDP and trade changes described in Table 2. </w:t>
      </w:r>
      <w:r>
        <w:t xml:space="preserve">Changes in world prices during 2009 are shown in the final two columns </w:t>
      </w:r>
      <w:r w:rsidR="00ED33E0">
        <w:t xml:space="preserve">of </w:t>
      </w:r>
      <w:r>
        <w:t>Table 5. These are imposed on the model in the "</w:t>
      </w:r>
      <w:r w:rsidR="008C4648">
        <w:t xml:space="preserve">2009 </w:t>
      </w:r>
      <w:r>
        <w:t>prices" simulation. In the "FDI outflows" simulation we include both declining world prices and FDI flows. FDI falls by 15</w:t>
      </w:r>
      <w:r w:rsidR="00951CAE">
        <w:t>%</w:t>
      </w:r>
      <w:r>
        <w:t xml:space="preserve"> in the first and second halves of 2009, which is a cumulative decline of </w:t>
      </w:r>
      <w:r w:rsidR="00B4291C">
        <w:t>about 25</w:t>
      </w:r>
      <w:r w:rsidR="00A22A97">
        <w:t>%</w:t>
      </w:r>
      <w:r>
        <w:t xml:space="preserve"> for the year. Finally, in the "Remittances" simulation we reduce foreign transfers to households by </w:t>
      </w:r>
      <w:r w:rsidR="00B4291C">
        <w:t xml:space="preserve">about </w:t>
      </w:r>
      <w:r>
        <w:t>10</w:t>
      </w:r>
      <w:r w:rsidR="00A22A97">
        <w:t>%</w:t>
      </w:r>
      <w:r>
        <w:t xml:space="preserve"> based on projections from World Bank (2009c). Absolute declines in transfers are distributed proportionally across rural/urban households according to remittance receipts reported in VHLSS. The "Remittances" scenario captures all three impact channels from Section 3 and thus reflects the overall impact of the 2009 financial crisis. </w:t>
      </w:r>
    </w:p>
    <w:p w:rsidR="006578CD" w:rsidRDefault="006578CD" w:rsidP="0050138A">
      <w:pPr>
        <w:spacing w:after="120"/>
        <w:jc w:val="both"/>
      </w:pPr>
      <w:r>
        <w:t xml:space="preserve">Finally, we simulate the government’s stimulus package. First, interest support </w:t>
      </w:r>
      <w:r w:rsidR="00FC6F4E">
        <w:t xml:space="preserve">and advanced capital </w:t>
      </w:r>
      <w:r>
        <w:t xml:space="preserve">offset declining FDI by injecting foreign reserves into the private sector. </w:t>
      </w:r>
      <w:r w:rsidR="00FC6F4E">
        <w:t xml:space="preserve">These are </w:t>
      </w:r>
      <w:r>
        <w:t>modeled as a US$1</w:t>
      </w:r>
      <w:r w:rsidR="00FC6F4E">
        <w:t>.</w:t>
      </w:r>
      <w:r w:rsidR="000E1538">
        <w:t>45</w:t>
      </w:r>
      <w:r>
        <w:t xml:space="preserve"> billion increase in external funds transferred to the real economy.</w:t>
      </w:r>
      <w:r>
        <w:rPr>
          <w:rStyle w:val="FootnoteReference"/>
        </w:rPr>
        <w:footnoteReference w:id="5"/>
      </w:r>
      <w:r>
        <w:t xml:space="preserve"> Secondly, we simulate a 3</w:t>
      </w:r>
      <w:r w:rsidR="00A22A97">
        <w:t>%</w:t>
      </w:r>
      <w:r>
        <w:t xml:space="preserve"> or US$300 million increase in recurrent government spending which raises agriculture's productivity by </w:t>
      </w:r>
      <w:r w:rsidR="000E1538">
        <w:t>6</w:t>
      </w:r>
      <w:r w:rsidR="00A22A97">
        <w:t>%</w:t>
      </w:r>
      <w:r>
        <w:t>.</w:t>
      </w:r>
      <w:r>
        <w:rPr>
          <w:rStyle w:val="FootnoteReference"/>
        </w:rPr>
        <w:footnoteReference w:id="6"/>
      </w:r>
      <w:r>
        <w:t xml:space="preserve"> </w:t>
      </w:r>
      <w:r w:rsidR="00CE4DED">
        <w:t>Third</w:t>
      </w:r>
      <w:r>
        <w:t xml:space="preserve">, we proportionally reduce direct tax rates on enterprises and households by </w:t>
      </w:r>
      <w:r w:rsidR="00526EF2">
        <w:t xml:space="preserve">about </w:t>
      </w:r>
      <w:r>
        <w:t>12</w:t>
      </w:r>
      <w:r w:rsidR="00A22A97">
        <w:t>%</w:t>
      </w:r>
      <w:r>
        <w:t xml:space="preserve"> (not percentage points) and extend social transfers by US$10 per capita. The cost of these interventions is US$900 million and US$850 million respectively. </w:t>
      </w:r>
      <w:r w:rsidR="00CE4DED">
        <w:t xml:space="preserve">Finally, </w:t>
      </w:r>
      <w:r w:rsidR="00D25366">
        <w:t>the stimulus is</w:t>
      </w:r>
      <w:r w:rsidR="00B10A0D">
        <w:t xml:space="preserve"> assumed to eliminate about </w:t>
      </w:r>
      <w:r w:rsidR="00FC6F4E">
        <w:t xml:space="preserve">a quarter </w:t>
      </w:r>
      <w:r w:rsidR="00D25366">
        <w:t xml:space="preserve">of the productivity growth losses incurred during the financial crisis. </w:t>
      </w:r>
      <w:r>
        <w:t>The overall stimulus package simulated in the DCGE model costs US$3</w:t>
      </w:r>
      <w:r w:rsidR="000E1538">
        <w:t>.5</w:t>
      </w:r>
      <w:r>
        <w:t xml:space="preserve"> billion or </w:t>
      </w:r>
      <w:r w:rsidR="00E159B4">
        <w:t>5</w:t>
      </w:r>
      <w:r w:rsidR="00A22A97">
        <w:t>%</w:t>
      </w:r>
      <w:r>
        <w:t xml:space="preserve"> of GDP</w:t>
      </w:r>
      <w:r w:rsidR="00526EF2">
        <w:t xml:space="preserve"> in 2008</w:t>
      </w:r>
      <w:r>
        <w:t xml:space="preserve">. The “stimulus” simulation captures key elements of the </w:t>
      </w:r>
      <w:r w:rsidR="00566447">
        <w:t xml:space="preserve">proposed </w:t>
      </w:r>
      <w:r>
        <w:t xml:space="preserve">2009 stimulus package and is of similar magnitude. </w:t>
      </w:r>
    </w:p>
    <w:p w:rsidR="00491537" w:rsidRPr="00F743FE" w:rsidRDefault="00491537" w:rsidP="00F743FE">
      <w:pPr>
        <w:keepNext/>
        <w:spacing w:after="120"/>
        <w:rPr>
          <w:i/>
        </w:rPr>
      </w:pPr>
      <w:r>
        <w:rPr>
          <w:i/>
        </w:rPr>
        <w:lastRenderedPageBreak/>
        <w:t xml:space="preserve">Impact of the 2008 food and fuel </w:t>
      </w:r>
      <w:r w:rsidR="0070644F">
        <w:rPr>
          <w:i/>
        </w:rPr>
        <w:t xml:space="preserve">price </w:t>
      </w:r>
      <w:r>
        <w:rPr>
          <w:i/>
        </w:rPr>
        <w:t>crisis</w:t>
      </w:r>
    </w:p>
    <w:p w:rsidR="003B2A1C" w:rsidRDefault="00D373E2" w:rsidP="00F743FE">
      <w:pPr>
        <w:keepNext/>
        <w:spacing w:after="120"/>
        <w:jc w:val="both"/>
      </w:pPr>
      <w:r>
        <w:t xml:space="preserve">Table 6 presents the results </w:t>
      </w:r>
      <w:r w:rsidR="0078201B">
        <w:t xml:space="preserve">for </w:t>
      </w:r>
      <w:r>
        <w:t xml:space="preserve">the food/fuel scenario, which </w:t>
      </w:r>
      <w:r w:rsidR="003E6372">
        <w:t xml:space="preserve">captures </w:t>
      </w:r>
      <w:r>
        <w:t xml:space="preserve">the </w:t>
      </w:r>
      <w:r w:rsidR="00524C26">
        <w:t xml:space="preserve">changes </w:t>
      </w:r>
      <w:r>
        <w:t>in commodity prices</w:t>
      </w:r>
      <w:r w:rsidR="00C5339C">
        <w:t xml:space="preserve"> </w:t>
      </w:r>
      <w:r w:rsidR="00524C26">
        <w:t xml:space="preserve">during </w:t>
      </w:r>
      <w:r w:rsidR="00C5339C">
        <w:t>2008</w:t>
      </w:r>
      <w:r>
        <w:t xml:space="preserve">. </w:t>
      </w:r>
      <w:r w:rsidR="003B2A1C">
        <w:t xml:space="preserve">Although price changes are modeled on a semester </w:t>
      </w:r>
      <w:r w:rsidR="009D7493">
        <w:t xml:space="preserve">basis </w:t>
      </w:r>
      <w:r w:rsidR="003B2A1C">
        <w:t>(</w:t>
      </w:r>
      <w:r w:rsidR="00524C26">
        <w:t xml:space="preserve">i.e., </w:t>
      </w:r>
      <w:r w:rsidR="009D7493">
        <w:t>half yearly</w:t>
      </w:r>
      <w:r w:rsidR="003B2A1C">
        <w:t xml:space="preserve">), the table reports </w:t>
      </w:r>
      <w:r w:rsidR="00524C26">
        <w:t xml:space="preserve">total </w:t>
      </w:r>
      <w:r w:rsidR="003B2A1C">
        <w:t>impact</w:t>
      </w:r>
      <w:r w:rsidR="00224D46">
        <w:t>s</w:t>
      </w:r>
      <w:r w:rsidR="003B2A1C">
        <w:t xml:space="preserve"> for 2008. </w:t>
      </w:r>
      <w:r w:rsidR="003D0164">
        <w:t>As such</w:t>
      </w:r>
      <w:r w:rsidR="00524C26">
        <w:t>, s</w:t>
      </w:r>
      <w:r w:rsidR="00C5134B">
        <w:t xml:space="preserve">ince the ban on additional rice exports was only imposed during the first half of 2008, the table reflects </w:t>
      </w:r>
      <w:r w:rsidR="003F113E">
        <w:t xml:space="preserve">post-ban </w:t>
      </w:r>
      <w:r w:rsidR="00C5134B">
        <w:t>outcomes</w:t>
      </w:r>
      <w:r w:rsidR="00524C26">
        <w:t xml:space="preserve"> </w:t>
      </w:r>
      <w:r w:rsidR="003F113E">
        <w:t xml:space="preserve">when </w:t>
      </w:r>
      <w:r w:rsidR="007B3350">
        <w:t xml:space="preserve">world price changes </w:t>
      </w:r>
      <w:r w:rsidR="0054615E">
        <w:t xml:space="preserve">had been </w:t>
      </w:r>
      <w:r w:rsidR="007B3350">
        <w:t>transmitted to the domestic economy</w:t>
      </w:r>
      <w:r w:rsidR="00C5134B">
        <w:t xml:space="preserve">. </w:t>
      </w:r>
      <w:r w:rsidR="00C5339C">
        <w:t xml:space="preserve">As indicated earlier, Vietnam's terms of trade </w:t>
      </w:r>
      <w:r w:rsidR="00F757DD">
        <w:t xml:space="preserve">improved </w:t>
      </w:r>
      <w:r w:rsidR="00205771">
        <w:t>in 2008</w:t>
      </w:r>
      <w:r w:rsidR="006D0B54">
        <w:t xml:space="preserve">, </w:t>
      </w:r>
      <w:r w:rsidR="007A5B62">
        <w:t xml:space="preserve">because </w:t>
      </w:r>
      <w:r w:rsidR="00F757DD">
        <w:t>weighted export prices rose by more than import prices</w:t>
      </w:r>
      <w:r w:rsidR="00DC20D9">
        <w:t xml:space="preserve">. This was </w:t>
      </w:r>
      <w:r w:rsidR="00C30538">
        <w:t xml:space="preserve">primarily </w:t>
      </w:r>
      <w:r w:rsidR="00DC20D9">
        <w:t xml:space="preserve">due </w:t>
      </w:r>
      <w:r w:rsidR="0078201B">
        <w:t xml:space="preserve">to </w:t>
      </w:r>
      <w:r w:rsidR="00F757DD">
        <w:t xml:space="preserve">rice and </w:t>
      </w:r>
      <w:r w:rsidR="00C30538">
        <w:t xml:space="preserve">crude </w:t>
      </w:r>
      <w:r w:rsidR="00F757DD">
        <w:t>oil</w:t>
      </w:r>
      <w:r w:rsidR="00D31A46">
        <w:t>, which are major export commodities</w:t>
      </w:r>
      <w:r w:rsidR="00DC6D50">
        <w:t xml:space="preserve"> </w:t>
      </w:r>
      <w:r w:rsidR="00E72FC6">
        <w:t xml:space="preserve">whose prices rose </w:t>
      </w:r>
      <w:r w:rsidR="002B5018">
        <w:t>significantly</w:t>
      </w:r>
      <w:r w:rsidR="00E72FC6">
        <w:t xml:space="preserve"> </w:t>
      </w:r>
      <w:r w:rsidR="00DC6D50">
        <w:t>(see Table 5)</w:t>
      </w:r>
      <w:r w:rsidR="00F757DD">
        <w:t>.</w:t>
      </w:r>
      <w:r w:rsidR="003C2BE7">
        <w:t xml:space="preserve"> Recall that the export ban applied only to incremental exports of rice. Existing rice exports benefited from higher prices even when the ban was in place. In addition, the ban was not in place in the second half of 2008.</w:t>
      </w:r>
      <w:r w:rsidR="00F757DD">
        <w:t xml:space="preserve"> </w:t>
      </w:r>
      <w:r w:rsidR="0034032B">
        <w:t xml:space="preserve">The </w:t>
      </w:r>
      <w:r w:rsidR="00F56490">
        <w:t xml:space="preserve">improvement </w:t>
      </w:r>
      <w:r w:rsidR="00F56490" w:rsidRPr="00F56490">
        <w:t>in the terms of trade generates a</w:t>
      </w:r>
      <w:r w:rsidR="002964EA">
        <w:t>n</w:t>
      </w:r>
      <w:r w:rsidR="00F56490" w:rsidRPr="00F56490">
        <w:t xml:space="preserve"> </w:t>
      </w:r>
      <w:r w:rsidR="00F56490">
        <w:t xml:space="preserve">appreciation </w:t>
      </w:r>
      <w:r w:rsidR="00F56490" w:rsidRPr="00F56490">
        <w:t xml:space="preserve">of the </w:t>
      </w:r>
      <w:r w:rsidR="006F3DCB" w:rsidRPr="00F56490">
        <w:t xml:space="preserve">real </w:t>
      </w:r>
      <w:r w:rsidR="006F3DCB">
        <w:t>exchange rate</w:t>
      </w:r>
      <w:r w:rsidR="0034032B">
        <w:t>,</w:t>
      </w:r>
      <w:r w:rsidR="006F3DCB">
        <w:t xml:space="preserve"> </w:t>
      </w:r>
      <w:r w:rsidR="00F56490" w:rsidRPr="00F56490">
        <w:t xml:space="preserve">reflected in a </w:t>
      </w:r>
      <w:r w:rsidR="009A5E89">
        <w:t>reduc</w:t>
      </w:r>
      <w:r w:rsidR="00466358">
        <w:t>ed</w:t>
      </w:r>
      <w:r w:rsidR="009A5E89">
        <w:t xml:space="preserve"> </w:t>
      </w:r>
      <w:r w:rsidR="00F56490" w:rsidRPr="00F56490">
        <w:t xml:space="preserve">price of </w:t>
      </w:r>
      <w:proofErr w:type="spellStart"/>
      <w:r w:rsidR="00F56490" w:rsidRPr="00F56490">
        <w:t>tradeable</w:t>
      </w:r>
      <w:proofErr w:type="spellEnd"/>
      <w:r w:rsidR="00F56490" w:rsidRPr="00F56490">
        <w:t xml:space="preserve"> to </w:t>
      </w:r>
      <w:proofErr w:type="spellStart"/>
      <w:r w:rsidR="00F56490" w:rsidRPr="00F56490">
        <w:t>nontradeable</w:t>
      </w:r>
      <w:proofErr w:type="spellEnd"/>
      <w:r w:rsidR="00F56490" w:rsidRPr="00F56490">
        <w:t xml:space="preserve"> commodities. The Vietnamese economy responds by </w:t>
      </w:r>
      <w:r w:rsidR="00E00287">
        <w:t xml:space="preserve">reducing </w:t>
      </w:r>
      <w:r w:rsidR="000A1BE5">
        <w:t xml:space="preserve">total </w:t>
      </w:r>
      <w:r w:rsidR="00F56490" w:rsidRPr="00F56490">
        <w:t xml:space="preserve">exports, which </w:t>
      </w:r>
      <w:r w:rsidR="00E00287">
        <w:t xml:space="preserve">fall </w:t>
      </w:r>
      <w:r w:rsidR="00F56490" w:rsidRPr="00F56490">
        <w:t xml:space="preserve">by 1% in volume terms </w:t>
      </w:r>
      <w:r w:rsidR="0034032B">
        <w:t xml:space="preserve">below </w:t>
      </w:r>
      <w:r w:rsidR="00F56490" w:rsidRPr="00F56490">
        <w:t>the baseline.</w:t>
      </w:r>
      <w:r w:rsidR="000A1BE5">
        <w:t xml:space="preserve"> </w:t>
      </w:r>
      <w:r w:rsidR="001F390D">
        <w:t>E</w:t>
      </w:r>
      <w:r w:rsidR="000A1BE5">
        <w:t>ven though</w:t>
      </w:r>
      <w:r w:rsidR="001F390D">
        <w:t xml:space="preserve"> </w:t>
      </w:r>
      <w:r w:rsidR="00CA1E16">
        <w:t xml:space="preserve">world </w:t>
      </w:r>
      <w:r w:rsidR="001F390D">
        <w:t xml:space="preserve">import prices are rising, this is </w:t>
      </w:r>
      <w:r w:rsidR="00D86F96">
        <w:t xml:space="preserve">more than </w:t>
      </w:r>
      <w:r w:rsidR="001F390D">
        <w:t xml:space="preserve">offset by </w:t>
      </w:r>
      <w:r w:rsidR="00D47070">
        <w:t xml:space="preserve">the </w:t>
      </w:r>
      <w:r w:rsidR="001F390D">
        <w:t>real appreciation</w:t>
      </w:r>
      <w:r w:rsidR="00511D28">
        <w:t xml:space="preserve"> and there is a slight </w:t>
      </w:r>
      <w:r w:rsidR="00A2606C">
        <w:t xml:space="preserve">increase </w:t>
      </w:r>
      <w:r w:rsidR="00511D28">
        <w:t xml:space="preserve">in </w:t>
      </w:r>
      <w:r w:rsidR="001F390D">
        <w:t>import</w:t>
      </w:r>
      <w:r w:rsidR="008643C5">
        <w:t xml:space="preserve"> volumes</w:t>
      </w:r>
      <w:r w:rsidR="001F390D">
        <w:t xml:space="preserve">.  </w:t>
      </w:r>
    </w:p>
    <w:p w:rsidR="003B2A1C" w:rsidRDefault="00F56490" w:rsidP="00F56490">
      <w:pPr>
        <w:spacing w:after="120"/>
        <w:jc w:val="center"/>
      </w:pPr>
      <w:r>
        <w:t>[Insert Table 6]</w:t>
      </w:r>
    </w:p>
    <w:p w:rsidR="003B2A1C" w:rsidRDefault="00BA669E" w:rsidP="00BA5FC0">
      <w:pPr>
        <w:spacing w:after="120"/>
        <w:jc w:val="both"/>
      </w:pPr>
      <w:r>
        <w:t xml:space="preserve">The rapid onset of the </w:t>
      </w:r>
      <w:r w:rsidR="005531EA">
        <w:t xml:space="preserve">2008 commodity </w:t>
      </w:r>
      <w:r>
        <w:t>crisis constrain</w:t>
      </w:r>
      <w:r w:rsidR="005531EA">
        <w:t>ed</w:t>
      </w:r>
      <w:r>
        <w:t xml:space="preserve"> </w:t>
      </w:r>
      <w:r w:rsidR="007669EF">
        <w:t xml:space="preserve">producers' </w:t>
      </w:r>
      <w:r w:rsidR="004918F8">
        <w:t xml:space="preserve">ability to respond </w:t>
      </w:r>
      <w:r w:rsidR="000A035F">
        <w:t xml:space="preserve">to </w:t>
      </w:r>
      <w:r w:rsidR="00E82119">
        <w:t xml:space="preserve">new </w:t>
      </w:r>
      <w:r w:rsidR="000A035F">
        <w:t>external market conditions</w:t>
      </w:r>
      <w:r>
        <w:t xml:space="preserve">. This is captured in the model </w:t>
      </w:r>
      <w:r w:rsidR="00BA0477">
        <w:t xml:space="preserve">by </w:t>
      </w:r>
      <w:r w:rsidR="00150CD5">
        <w:t xml:space="preserve">fixing </w:t>
      </w:r>
      <w:r w:rsidR="007D4E56">
        <w:t xml:space="preserve">capital stock </w:t>
      </w:r>
      <w:r w:rsidR="001D35C2">
        <w:t xml:space="preserve">and land </w:t>
      </w:r>
      <w:r w:rsidR="007D4E56">
        <w:t xml:space="preserve">allocations and </w:t>
      </w:r>
      <w:r w:rsidR="008706D1">
        <w:t>limit</w:t>
      </w:r>
      <w:r w:rsidR="00150CD5">
        <w:t>ing</w:t>
      </w:r>
      <w:r w:rsidR="008706D1">
        <w:t xml:space="preserve"> </w:t>
      </w:r>
      <w:r w:rsidR="00CC10F4">
        <w:t xml:space="preserve">labor </w:t>
      </w:r>
      <w:r w:rsidR="00B320D2">
        <w:t>substitution possibilities</w:t>
      </w:r>
      <w:r>
        <w:t xml:space="preserve">. </w:t>
      </w:r>
      <w:r w:rsidR="005C1822">
        <w:t>T</w:t>
      </w:r>
      <w:r w:rsidR="00F6032F">
        <w:t xml:space="preserve">here </w:t>
      </w:r>
      <w:r w:rsidR="004777F3">
        <w:t xml:space="preserve">is </w:t>
      </w:r>
      <w:r w:rsidR="00F6032F">
        <w:t>still</w:t>
      </w:r>
      <w:r w:rsidR="005C1822">
        <w:t>, however,</w:t>
      </w:r>
      <w:r w:rsidR="00F6032F">
        <w:t xml:space="preserve"> </w:t>
      </w:r>
      <w:r w:rsidR="00B3735B">
        <w:t xml:space="preserve">a </w:t>
      </w:r>
      <w:r w:rsidR="004777F3">
        <w:t xml:space="preserve">shift in </w:t>
      </w:r>
      <w:r w:rsidR="00F6032F">
        <w:t xml:space="preserve">resources towards </w:t>
      </w:r>
      <w:r w:rsidR="00494038">
        <w:t xml:space="preserve">commodities </w:t>
      </w:r>
      <w:r w:rsidR="004777F3">
        <w:t xml:space="preserve">whose export profitability </w:t>
      </w:r>
      <w:r w:rsidR="0021033A">
        <w:t>rise</w:t>
      </w:r>
      <w:r w:rsidR="00150CD5">
        <w:t>s</w:t>
      </w:r>
      <w:r w:rsidR="0021033A">
        <w:t xml:space="preserve"> </w:t>
      </w:r>
      <w:r w:rsidR="004777F3">
        <w:t>the most.</w:t>
      </w:r>
      <w:r>
        <w:t xml:space="preserve"> </w:t>
      </w:r>
      <w:r w:rsidR="008F6BA3">
        <w:t xml:space="preserve">Crop production, for </w:t>
      </w:r>
      <w:r w:rsidR="003C0536">
        <w:t>example</w:t>
      </w:r>
      <w:r w:rsidR="008F6BA3">
        <w:t xml:space="preserve">, </w:t>
      </w:r>
      <w:r w:rsidR="0087153A">
        <w:t xml:space="preserve">expands </w:t>
      </w:r>
      <w:r w:rsidR="008F6BA3">
        <w:t xml:space="preserve">by an additional </w:t>
      </w:r>
      <w:r w:rsidR="003C2BE7">
        <w:t>1.9</w:t>
      </w:r>
      <w:r w:rsidR="008F6BA3">
        <w:t>%</w:t>
      </w:r>
      <w:r w:rsidR="00B565D7">
        <w:t xml:space="preserve"> as rice farmers </w:t>
      </w:r>
      <w:r w:rsidR="00F46395">
        <w:t xml:space="preserve">eventually </w:t>
      </w:r>
      <w:r w:rsidR="00443BB5">
        <w:t>take advantage of</w:t>
      </w:r>
      <w:r w:rsidR="00964757">
        <w:t xml:space="preserve"> higher</w:t>
      </w:r>
      <w:r w:rsidR="00443BB5">
        <w:t xml:space="preserve"> </w:t>
      </w:r>
      <w:r w:rsidR="00964757">
        <w:t xml:space="preserve">export </w:t>
      </w:r>
      <w:r w:rsidR="00443BB5">
        <w:t>prices.</w:t>
      </w:r>
      <w:r w:rsidR="00F26D90">
        <w:t xml:space="preserve"> </w:t>
      </w:r>
      <w:r w:rsidR="00290B32">
        <w:t xml:space="preserve">This </w:t>
      </w:r>
      <w:r w:rsidR="007A0EA6">
        <w:t xml:space="preserve">increases </w:t>
      </w:r>
      <w:r w:rsidR="00290B32">
        <w:t>r</w:t>
      </w:r>
      <w:r w:rsidR="00F26D90">
        <w:t>ural employment</w:t>
      </w:r>
      <w:r w:rsidR="00290B32">
        <w:t>,</w:t>
      </w:r>
      <w:r w:rsidR="00F26D90">
        <w:t xml:space="preserve"> </w:t>
      </w:r>
      <w:r w:rsidR="00442779">
        <w:t xml:space="preserve">mainly </w:t>
      </w:r>
      <w:r w:rsidR="00161BED">
        <w:t xml:space="preserve">for </w:t>
      </w:r>
      <w:r w:rsidR="00442779">
        <w:t>lower-skilled farm workers.</w:t>
      </w:r>
      <w:r w:rsidR="00D83187">
        <w:t xml:space="preserve"> </w:t>
      </w:r>
      <w:r w:rsidR="004C2A99">
        <w:t>Conversely, manufacturing and services production</w:t>
      </w:r>
      <w:r w:rsidR="0093474A">
        <w:t xml:space="preserve"> falls</w:t>
      </w:r>
      <w:r w:rsidR="000338AC">
        <w:t xml:space="preserve">, </w:t>
      </w:r>
      <w:r w:rsidR="002E5398">
        <w:t xml:space="preserve">because </w:t>
      </w:r>
      <w:r w:rsidR="000338AC">
        <w:t xml:space="preserve">the large real appreciation reduces their export competitiveness. </w:t>
      </w:r>
      <w:r w:rsidR="002E5398">
        <w:t xml:space="preserve">Urban employment also declines as a result. </w:t>
      </w:r>
      <w:r w:rsidR="000F6A89">
        <w:t>Overall, the shift out of n</w:t>
      </w:r>
      <w:r w:rsidR="00F743FE">
        <w:t>on-agriculture into lower productivity</w:t>
      </w:r>
      <w:r w:rsidR="000F6A89">
        <w:t xml:space="preserve"> </w:t>
      </w:r>
      <w:r w:rsidR="005D2BD3">
        <w:t xml:space="preserve">crop production </w:t>
      </w:r>
      <w:r w:rsidR="000F6A89">
        <w:t xml:space="preserve">causes </w:t>
      </w:r>
      <w:r w:rsidR="004D4F3D">
        <w:t xml:space="preserve">real GDP to decline </w:t>
      </w:r>
      <w:r w:rsidR="000F6A89">
        <w:t>slight</w:t>
      </w:r>
      <w:r w:rsidR="004D4F3D">
        <w:t>ly by 0.2%.</w:t>
      </w:r>
      <w:r w:rsidR="000F6A89">
        <w:t xml:space="preserve"> </w:t>
      </w:r>
      <w:r w:rsidR="003B52F1">
        <w:t>These results are consistent with the observed rise in agricultural GDP and decline in the growth of services GDP during 2008.</w:t>
      </w:r>
    </w:p>
    <w:p w:rsidR="006578CD" w:rsidRDefault="00C312C6" w:rsidP="006D059E">
      <w:pPr>
        <w:spacing w:after="120"/>
        <w:jc w:val="both"/>
      </w:pPr>
      <w:r>
        <w:t>Although economic growth declines slightly, there is still an increase in total absorption</w:t>
      </w:r>
      <w:r w:rsidR="003C2BE7">
        <w:t xml:space="preserve"> due to the terms of trade improvement</w:t>
      </w:r>
      <w:r w:rsidR="00F7465F">
        <w:t>. However, not all components of absorption are affected equally. Since recurrent government spending is constant in the model, tax revenues from oil exports are used to expand public investment. Overall, total investment demand rises by 0.8% relative to the baseline.</w:t>
      </w:r>
      <w:r w:rsidR="0079604D">
        <w:t xml:space="preserve"> </w:t>
      </w:r>
      <w:r w:rsidR="00977C35">
        <w:t xml:space="preserve">The increase in investment also benefits from cheaper imported machinery and accounts for the expansion of construction (included in "other industry"). </w:t>
      </w:r>
      <w:r w:rsidR="0079604D">
        <w:t xml:space="preserve">Falling consumer prices, </w:t>
      </w:r>
      <w:r w:rsidR="00FC24A4">
        <w:t xml:space="preserve">caused </w:t>
      </w:r>
      <w:r w:rsidR="0079604D">
        <w:t xml:space="preserve">by cheaper imported goods and higher food production, </w:t>
      </w:r>
      <w:r w:rsidR="00977C35">
        <w:t xml:space="preserve">also </w:t>
      </w:r>
      <w:r w:rsidR="0079604D">
        <w:t xml:space="preserve">causes real private consumption to expand by 1.5%. </w:t>
      </w:r>
      <w:r w:rsidR="006D059E">
        <w:t>Since absorption is an aggregate measure of welfare in the economy, the results suggest that the global commodity crisis had a positive effect on welfare in Vietnam.</w:t>
      </w:r>
    </w:p>
    <w:p w:rsidR="00171038" w:rsidRDefault="006578CD" w:rsidP="00171038">
      <w:pPr>
        <w:spacing w:after="120"/>
        <w:jc w:val="both"/>
      </w:pPr>
      <w:r>
        <w:t xml:space="preserve">The </w:t>
      </w:r>
      <w:r w:rsidR="00C6716E">
        <w:t xml:space="preserve">net </w:t>
      </w:r>
      <w:r>
        <w:t xml:space="preserve">employment-effects of the </w:t>
      </w:r>
      <w:r w:rsidR="00C6716E">
        <w:t xml:space="preserve">2008 </w:t>
      </w:r>
      <w:r w:rsidR="002A4864">
        <w:t xml:space="preserve">commodity </w:t>
      </w:r>
      <w:r>
        <w:t xml:space="preserve">crisis were also positive. At the national-level, employment increased by </w:t>
      </w:r>
      <w:r w:rsidR="00815F17">
        <w:t>0.9</w:t>
      </w:r>
      <w:r w:rsidR="00A22A97">
        <w:t>%</w:t>
      </w:r>
      <w:r>
        <w:t xml:space="preserve"> or </w:t>
      </w:r>
      <w:r w:rsidR="00D25366">
        <w:t xml:space="preserve">about </w:t>
      </w:r>
      <w:r w:rsidR="007704BC">
        <w:t>3</w:t>
      </w:r>
      <w:r>
        <w:t xml:space="preserve">50,000 jobs. </w:t>
      </w:r>
      <w:r w:rsidR="00D333E3">
        <w:t xml:space="preserve">Most of </w:t>
      </w:r>
      <w:r w:rsidR="00AA3E58">
        <w:t xml:space="preserve">these new jobs are created in the agricultural sector, </w:t>
      </w:r>
      <w:r w:rsidR="00D333E3">
        <w:t xml:space="preserve">which explains why the rural poverty headcount declines by </w:t>
      </w:r>
      <w:r w:rsidR="00332EF9">
        <w:t>five</w:t>
      </w:r>
      <w:r w:rsidR="00D333E3">
        <w:t xml:space="preserve"> percentage points.</w:t>
      </w:r>
      <w:r w:rsidR="00D333E3">
        <w:rPr>
          <w:rStyle w:val="FootnoteReference"/>
        </w:rPr>
        <w:footnoteReference w:id="7"/>
      </w:r>
      <w:r w:rsidR="00171038">
        <w:t xml:space="preserve"> </w:t>
      </w:r>
      <w:r w:rsidR="00171038">
        <w:lastRenderedPageBreak/>
        <w:t xml:space="preserve">Overall, the commodity crisis reduced the number of people in Vietnam living below the US$2-a-day poverty line by 3.1 million people. </w:t>
      </w:r>
      <w:r w:rsidR="009147E2">
        <w:t xml:space="preserve">As shown in Figure 4, </w:t>
      </w:r>
      <w:r w:rsidR="00E92C4A">
        <w:t xml:space="preserve">the poverty </w:t>
      </w:r>
      <w:r w:rsidR="00B965BF">
        <w:t xml:space="preserve">reduction </w:t>
      </w:r>
      <w:r w:rsidR="00E92C4A">
        <w:t>only occurs after the lifting of the rice export ban. This is because the ban limited the increase in producer prices and hence many of the gains for rural farmers.</w:t>
      </w:r>
      <w:r w:rsidR="00EA5C65">
        <w:t xml:space="preserve"> Lifting of the ban </w:t>
      </w:r>
      <w:r w:rsidR="008D4070">
        <w:t xml:space="preserve">during the second half of 2008 </w:t>
      </w:r>
      <w:r w:rsidR="00EA5C65">
        <w:t>allowed domestic prices to adjust to higher world prices and for rural farmers to increase rice production</w:t>
      </w:r>
      <w:r w:rsidR="003B4670">
        <w:t>, causing poverty to decline</w:t>
      </w:r>
      <w:r w:rsidR="00EA5C65">
        <w:t>.</w:t>
      </w:r>
      <w:r w:rsidR="00B965BF" w:rsidRPr="00B965BF">
        <w:t xml:space="preserve"> </w:t>
      </w:r>
      <w:r w:rsidR="00B965BF">
        <w:t xml:space="preserve">Overall, this is a substantial decline in national poverty beyond what would have been expected without the positive terms-of-trade effects caused by the global commodity crisis. </w:t>
      </w:r>
      <w:r w:rsidR="00EA5C65">
        <w:t xml:space="preserve">  </w:t>
      </w:r>
      <w:r w:rsidR="00E92C4A">
        <w:t xml:space="preserve"> </w:t>
      </w:r>
    </w:p>
    <w:p w:rsidR="009147E2" w:rsidRDefault="009147E2" w:rsidP="009147E2">
      <w:pPr>
        <w:spacing w:after="120"/>
        <w:jc w:val="center"/>
      </w:pPr>
      <w:r>
        <w:t>[Insert Figure 4]</w:t>
      </w:r>
    </w:p>
    <w:p w:rsidR="008204FE" w:rsidRDefault="00D45424" w:rsidP="008204FE">
      <w:pPr>
        <w:spacing w:after="120"/>
        <w:rPr>
          <w:i/>
        </w:rPr>
      </w:pPr>
      <w:r>
        <w:rPr>
          <w:i/>
        </w:rPr>
        <w:t xml:space="preserve">The </w:t>
      </w:r>
      <w:r w:rsidR="001E7942">
        <w:rPr>
          <w:i/>
        </w:rPr>
        <w:t>2009 financial crisis and global recession</w:t>
      </w:r>
    </w:p>
    <w:p w:rsidR="003A7DA6" w:rsidRDefault="00C9624B" w:rsidP="00DE0011">
      <w:pPr>
        <w:spacing w:after="120"/>
        <w:jc w:val="both"/>
      </w:pPr>
      <w:r>
        <w:t xml:space="preserve">Table 7 shows how the </w:t>
      </w:r>
      <w:r w:rsidR="008204FE">
        <w:t xml:space="preserve">impact of the financial crisis is decomposed into </w:t>
      </w:r>
      <w:r w:rsidR="00E415E2">
        <w:t xml:space="preserve">falling </w:t>
      </w:r>
      <w:r w:rsidR="008204FE">
        <w:t>world prices, FDI and remittances.</w:t>
      </w:r>
      <w:r w:rsidR="005A1768">
        <w:t xml:space="preserve"> </w:t>
      </w:r>
      <w:r>
        <w:t>P</w:t>
      </w:r>
      <w:r w:rsidR="003528C1">
        <w:t xml:space="preserve">roductivity growth is </w:t>
      </w:r>
      <w:r>
        <w:t xml:space="preserve">also </w:t>
      </w:r>
      <w:r w:rsidR="001974BC">
        <w:t>reduced</w:t>
      </w:r>
      <w:r w:rsidR="003528C1">
        <w:t xml:space="preserve"> </w:t>
      </w:r>
      <w:r w:rsidR="00123DBF">
        <w:t xml:space="preserve">in order </w:t>
      </w:r>
      <w:r w:rsidR="003528C1">
        <w:t>to track GDP and trade impacts.</w:t>
      </w:r>
      <w:r w:rsidR="00F743FE">
        <w:t xml:space="preserve"> As indicated, s</w:t>
      </w:r>
      <w:r w:rsidR="00DA0C9A">
        <w:t>imulations</w:t>
      </w:r>
      <w:r w:rsidR="003C2BE7">
        <w:t xml:space="preserve"> of the financial crisis</w:t>
      </w:r>
      <w:r w:rsidR="00DA0C9A">
        <w:t xml:space="preserve"> </w:t>
      </w:r>
      <w:r w:rsidR="005C55B5">
        <w:t xml:space="preserve">are cumulative </w:t>
      </w:r>
      <w:r w:rsidR="00C51CB9">
        <w:t xml:space="preserve">such </w:t>
      </w:r>
      <w:r w:rsidR="00DA0C9A">
        <w:t xml:space="preserve">that </w:t>
      </w:r>
      <w:r w:rsidR="004C0D51">
        <w:t>the remittances column</w:t>
      </w:r>
      <w:r w:rsidR="0007307C">
        <w:t xml:space="preserve"> </w:t>
      </w:r>
      <w:r w:rsidR="00E124B3">
        <w:t xml:space="preserve">reflects </w:t>
      </w:r>
      <w:r w:rsidR="005C55B5">
        <w:t>the full impact of the crisis</w:t>
      </w:r>
      <w:r w:rsidR="004C0D51">
        <w:t xml:space="preserve"> in 2009 without any mitigating government stimulus</w:t>
      </w:r>
      <w:r w:rsidR="00A90031">
        <w:t xml:space="preserve"> and the final column indicates the effect assuming that the proposed stimulus </w:t>
      </w:r>
      <w:r w:rsidR="002F21A6">
        <w:t xml:space="preserve">package </w:t>
      </w:r>
      <w:r w:rsidR="00A90031">
        <w:t>is fully enacted</w:t>
      </w:r>
      <w:r w:rsidR="005C55B5">
        <w:t>.</w:t>
      </w:r>
      <w:r w:rsidR="003C2BE7">
        <w:t xml:space="preserve"> The first two columns of </w:t>
      </w:r>
      <w:r w:rsidR="00F12B31">
        <w:t>results, labeled food</w:t>
      </w:r>
      <w:r w:rsidR="00C727F8">
        <w:t>/</w:t>
      </w:r>
      <w:r w:rsidR="00F12B31">
        <w:t xml:space="preserve">fuel </w:t>
      </w:r>
      <w:r w:rsidR="00C727F8">
        <w:t>scenario</w:t>
      </w:r>
      <w:r w:rsidR="00F12B31">
        <w:t>,</w:t>
      </w:r>
      <w:r w:rsidR="003C2BE7">
        <w:t xml:space="preserve"> </w:t>
      </w:r>
      <w:r w:rsidR="00DF374C">
        <w:t xml:space="preserve">show </w:t>
      </w:r>
      <w:r w:rsidR="003C2BE7">
        <w:t xml:space="preserve">annual growth rates </w:t>
      </w:r>
      <w:r w:rsidR="00DF374C">
        <w:t xml:space="preserve">for 2009 </w:t>
      </w:r>
      <w:r w:rsidR="003C2BE7">
        <w:t xml:space="preserve">assuming </w:t>
      </w:r>
      <w:r w:rsidR="00DF374C">
        <w:t xml:space="preserve">the high </w:t>
      </w:r>
      <w:r w:rsidR="003C2BE7">
        <w:t>world prices prevailing in 2008 had continued into 2009.</w:t>
      </w:r>
      <w:r w:rsidR="007979AF">
        <w:t xml:space="preserve"> </w:t>
      </w:r>
      <w:r w:rsidR="003C2BE7">
        <w:t xml:space="preserve">The </w:t>
      </w:r>
      <w:r w:rsidR="00F12B31">
        <w:t xml:space="preserve">remaining columns </w:t>
      </w:r>
      <w:r w:rsidR="003C2BE7">
        <w:t>present</w:t>
      </w:r>
      <w:r w:rsidR="004D4D33">
        <w:t xml:space="preserve"> contemporaneous </w:t>
      </w:r>
      <w:r w:rsidR="003C2BE7">
        <w:t>percent</w:t>
      </w:r>
      <w:r w:rsidR="004D4D33">
        <w:t>age</w:t>
      </w:r>
      <w:r w:rsidR="003C2BE7">
        <w:t xml:space="preserve"> point differences from </w:t>
      </w:r>
      <w:r w:rsidR="00DF374C">
        <w:t xml:space="preserve">this </w:t>
      </w:r>
      <w:r w:rsidR="003C2BE7">
        <w:t>food</w:t>
      </w:r>
      <w:r w:rsidR="00DF374C">
        <w:t>/</w:t>
      </w:r>
      <w:r w:rsidR="003C2BE7">
        <w:t>fuel crisis</w:t>
      </w:r>
      <w:r w:rsidR="004D4D33">
        <w:t xml:space="preserve"> scenario</w:t>
      </w:r>
      <w:r w:rsidR="003C2BE7">
        <w:t>.</w:t>
      </w:r>
    </w:p>
    <w:p w:rsidR="003A7DA6" w:rsidRDefault="003A7DA6" w:rsidP="003A7DA6">
      <w:pPr>
        <w:spacing w:after="120"/>
        <w:jc w:val="center"/>
      </w:pPr>
      <w:r>
        <w:t>[Insert Table 7]</w:t>
      </w:r>
    </w:p>
    <w:p w:rsidR="00DB55B8" w:rsidRDefault="005E2AD5" w:rsidP="00DB55B8">
      <w:pPr>
        <w:spacing w:after="120"/>
        <w:jc w:val="both"/>
      </w:pPr>
      <w:r>
        <w:t>W</w:t>
      </w:r>
      <w:r w:rsidR="00DB55B8">
        <w:t xml:space="preserve">e </w:t>
      </w:r>
      <w:r>
        <w:t xml:space="preserve">first focus on changes in world prices </w:t>
      </w:r>
      <w:r w:rsidR="009A3292">
        <w:t xml:space="preserve">(see </w:t>
      </w:r>
      <w:r>
        <w:t xml:space="preserve">the third column of </w:t>
      </w:r>
      <w:r w:rsidR="00DB55B8">
        <w:t>Table 7</w:t>
      </w:r>
      <w:r w:rsidR="009A3292">
        <w:t>)</w:t>
      </w:r>
      <w:r w:rsidR="00DB55B8">
        <w:t xml:space="preserve">. Falling world prices in 2009 improved Vietnam's terms-of-trade </w:t>
      </w:r>
      <w:r w:rsidR="00F743FE">
        <w:t xml:space="preserve">even </w:t>
      </w:r>
      <w:r w:rsidR="00DB55B8">
        <w:t xml:space="preserve">beyond the levels achieved in 2008. Based on 2007 trade shares, trade-weighted import prices fell faster than export prices. Note that import prices receive </w:t>
      </w:r>
      <w:r w:rsidR="009A3292">
        <w:t>a larger</w:t>
      </w:r>
      <w:r w:rsidR="00DB55B8">
        <w:t xml:space="preserve"> weight in the terms</w:t>
      </w:r>
      <w:r w:rsidR="009A3292">
        <w:t>-</w:t>
      </w:r>
      <w:r w:rsidR="00DB55B8">
        <w:t>of</w:t>
      </w:r>
      <w:r w:rsidR="009A3292">
        <w:t>-</w:t>
      </w:r>
      <w:r w:rsidR="00DB55B8">
        <w:t>trade</w:t>
      </w:r>
      <w:r w:rsidR="009A3292">
        <w:t xml:space="preserve"> </w:t>
      </w:r>
      <w:r w:rsidR="00DB55B8">
        <w:t xml:space="preserve">calculation due to </w:t>
      </w:r>
      <w:r w:rsidR="009A3292">
        <w:t xml:space="preserve">Vietnam's </w:t>
      </w:r>
      <w:r w:rsidR="00DB55B8">
        <w:t xml:space="preserve">trade deficit. The </w:t>
      </w:r>
      <w:r w:rsidR="009A3292">
        <w:t xml:space="preserve">decline </w:t>
      </w:r>
      <w:r w:rsidR="00DB55B8">
        <w:t>in the import price</w:t>
      </w:r>
      <w:r w:rsidR="009A3292">
        <w:t xml:space="preserve"> index</w:t>
      </w:r>
      <w:r w:rsidR="00DB55B8">
        <w:t xml:space="preserve"> </w:t>
      </w:r>
      <w:r w:rsidR="009A3292">
        <w:t>is</w:t>
      </w:r>
      <w:r w:rsidR="00DB55B8">
        <w:t xml:space="preserve"> driven principally by </w:t>
      </w:r>
      <w:r w:rsidR="009A3292">
        <w:t xml:space="preserve">falling </w:t>
      </w:r>
      <w:r w:rsidR="00DB55B8">
        <w:t xml:space="preserve">prices </w:t>
      </w:r>
      <w:r w:rsidR="009A3292">
        <w:t xml:space="preserve">for </w:t>
      </w:r>
      <w:r w:rsidR="00DB55B8">
        <w:t>imported intermediates</w:t>
      </w:r>
      <w:r w:rsidR="009A3292">
        <w:t>,</w:t>
      </w:r>
      <w:r w:rsidR="00DB55B8">
        <w:t xml:space="preserve"> such as metals, fuels, and textiles. </w:t>
      </w:r>
      <w:r w:rsidR="009A3292">
        <w:t>T</w:t>
      </w:r>
      <w:r w:rsidR="00DB55B8">
        <w:t xml:space="preserve">he </w:t>
      </w:r>
      <w:r w:rsidR="009A3292">
        <w:t xml:space="preserve">falling </w:t>
      </w:r>
      <w:r w:rsidR="00DB55B8">
        <w:t xml:space="preserve">prices </w:t>
      </w:r>
      <w:r w:rsidR="009A3292">
        <w:t xml:space="preserve">for </w:t>
      </w:r>
      <w:r w:rsidR="00DB55B8">
        <w:t>imported investment goods</w:t>
      </w:r>
      <w:r w:rsidR="009A3292">
        <w:t>,</w:t>
      </w:r>
      <w:r w:rsidR="00DB55B8">
        <w:t xml:space="preserve"> such as machinery and transport equipment</w:t>
      </w:r>
      <w:r w:rsidR="009A3292">
        <w:t>,</w:t>
      </w:r>
      <w:r w:rsidR="00DB55B8">
        <w:t xml:space="preserve"> also </w:t>
      </w:r>
      <w:r w:rsidR="009A3292">
        <w:t xml:space="preserve">reduces </w:t>
      </w:r>
      <w:r w:rsidR="00DB55B8">
        <w:t>the import price</w:t>
      </w:r>
      <w:r w:rsidR="009A3292">
        <w:t xml:space="preserve"> index</w:t>
      </w:r>
      <w:r w:rsidR="00DB55B8">
        <w:t xml:space="preserve">. Relative to the </w:t>
      </w:r>
      <w:r w:rsidR="00BE1C02">
        <w:t xml:space="preserve">world </w:t>
      </w:r>
      <w:r w:rsidR="00DB55B8">
        <w:t xml:space="preserve">prices prevailing under the food and fuel crisis, prices </w:t>
      </w:r>
      <w:r w:rsidR="00BE1C02">
        <w:t xml:space="preserve">under </w:t>
      </w:r>
      <w:r w:rsidR="00DB55B8">
        <w:t>the financial crisis improve terms</w:t>
      </w:r>
      <w:r w:rsidR="009A3292">
        <w:t>-</w:t>
      </w:r>
      <w:r w:rsidR="00DB55B8">
        <w:t>of</w:t>
      </w:r>
      <w:r w:rsidR="009A3292">
        <w:t>-</w:t>
      </w:r>
      <w:r w:rsidR="00DB55B8">
        <w:t xml:space="preserve">trade by 0.5%. </w:t>
      </w:r>
      <w:r w:rsidR="00BE1C02">
        <w:t xml:space="preserve">This </w:t>
      </w:r>
      <w:r w:rsidR="009A3292">
        <w:t>cause</w:t>
      </w:r>
      <w:r w:rsidR="00BE1C02">
        <w:t>s</w:t>
      </w:r>
      <w:r w:rsidR="009A3292">
        <w:t xml:space="preserve"> the </w:t>
      </w:r>
      <w:r w:rsidR="00DB55B8">
        <w:t xml:space="preserve">real exchange rate </w:t>
      </w:r>
      <w:r w:rsidR="009A3292">
        <w:t xml:space="preserve">to appreciate by a further </w:t>
      </w:r>
      <w:r w:rsidR="00DB55B8">
        <w:t xml:space="preserve">-1.4%. </w:t>
      </w:r>
      <w:r w:rsidR="00BE1C02">
        <w:t>Together, l</w:t>
      </w:r>
      <w:r w:rsidR="00DB55B8">
        <w:t>ower prices for major exports and the real appreciation cause real export</w:t>
      </w:r>
      <w:r w:rsidR="00BE1C02">
        <w:t xml:space="preserve">s </w:t>
      </w:r>
      <w:r w:rsidR="00DB55B8">
        <w:t>to fall by 0.6% relative to the level registered in the food/fuel scenario in 2009. The real appreciation also favors imports, whose volume expands by 0.9%. Changes in sector production are opposite to those experienced during the 2008 commodity crisis. Crop production falls alongside world rice prices. Urban employment increases while rural employment declines.</w:t>
      </w:r>
      <w:r w:rsidR="006C6EE2">
        <w:t xml:space="preserve"> In terms of the components of absorption, the high import intensity of investment permits real investment to </w:t>
      </w:r>
      <w:r w:rsidR="00152597">
        <w:t xml:space="preserve">rise </w:t>
      </w:r>
      <w:r w:rsidR="006C6EE2">
        <w:t>due to lower world prices for imported investment goods</w:t>
      </w:r>
      <w:r w:rsidR="00152597">
        <w:t xml:space="preserve"> combined with the real appreciation</w:t>
      </w:r>
      <w:r w:rsidR="006C6EE2">
        <w:t xml:space="preserve">. Consumers also benefit from the </w:t>
      </w:r>
      <w:r w:rsidR="00BE1C02">
        <w:t xml:space="preserve">improved </w:t>
      </w:r>
      <w:r w:rsidR="006C6EE2">
        <w:t>terms</w:t>
      </w:r>
      <w:r w:rsidR="00BE1C02">
        <w:t>-</w:t>
      </w:r>
      <w:r w:rsidR="006C6EE2">
        <w:t>of</w:t>
      </w:r>
      <w:r w:rsidR="00BE1C02">
        <w:t>-</w:t>
      </w:r>
      <w:r w:rsidR="006C6EE2">
        <w:t>trade</w:t>
      </w:r>
      <w:r w:rsidR="00152597">
        <w:t xml:space="preserve"> in the aggregate; but d</w:t>
      </w:r>
      <w:r w:rsidR="00332EF9">
        <w:t>eclining agricultural GDP reduces farm incomes for poorer rural households, with poverty rising as a result.</w:t>
      </w:r>
    </w:p>
    <w:p w:rsidR="00DB55B8" w:rsidRDefault="00DB55B8" w:rsidP="00DE0011">
      <w:pPr>
        <w:spacing w:after="120"/>
        <w:jc w:val="both"/>
      </w:pPr>
    </w:p>
    <w:p w:rsidR="004F5B38" w:rsidRDefault="00A978E2" w:rsidP="00DE0011">
      <w:pPr>
        <w:spacing w:after="120"/>
        <w:jc w:val="both"/>
      </w:pPr>
      <w:r>
        <w:t xml:space="preserve">The impact of the financial crisis is </w:t>
      </w:r>
      <w:r w:rsidR="00CB38CB">
        <w:t xml:space="preserve">both negative and </w:t>
      </w:r>
      <w:r>
        <w:t xml:space="preserve">more pronounced in </w:t>
      </w:r>
      <w:r w:rsidR="000115BA">
        <w:t xml:space="preserve">the </w:t>
      </w:r>
      <w:r>
        <w:t xml:space="preserve">FDI and </w:t>
      </w:r>
      <w:r w:rsidR="0009403B">
        <w:t xml:space="preserve">Remittances </w:t>
      </w:r>
      <w:r w:rsidR="000115BA">
        <w:t>scenarios</w:t>
      </w:r>
      <w:r w:rsidR="00152597">
        <w:t xml:space="preserve"> (see</w:t>
      </w:r>
      <w:r w:rsidR="00C70E7D">
        <w:t xml:space="preserve"> columns</w:t>
      </w:r>
      <w:r w:rsidR="00152597">
        <w:t xml:space="preserve"> labeled (4) and (5) in</w:t>
      </w:r>
      <w:r w:rsidR="00C70E7D">
        <w:t xml:space="preserve"> Table 7)</w:t>
      </w:r>
      <w:r>
        <w:t>.</w:t>
      </w:r>
      <w:r w:rsidR="002B0399">
        <w:t xml:space="preserve"> As expected, </w:t>
      </w:r>
      <w:r w:rsidR="00300206">
        <w:t xml:space="preserve">falling </w:t>
      </w:r>
      <w:r w:rsidR="007E1F2B">
        <w:t>FDI cause</w:t>
      </w:r>
      <w:r w:rsidR="001A613C">
        <w:t>s</w:t>
      </w:r>
      <w:r w:rsidR="007E1F2B">
        <w:t xml:space="preserve"> </w:t>
      </w:r>
      <w:r w:rsidR="009109D2">
        <w:t xml:space="preserve">a substantial contraction in </w:t>
      </w:r>
      <w:r w:rsidR="00954A0E">
        <w:t xml:space="preserve">total </w:t>
      </w:r>
      <w:r w:rsidR="007E1F2B">
        <w:t>investment</w:t>
      </w:r>
      <w:r w:rsidR="00912385">
        <w:t xml:space="preserve">. </w:t>
      </w:r>
      <w:r w:rsidR="00152597">
        <w:t>The</w:t>
      </w:r>
      <w:r w:rsidR="00912385">
        <w:t xml:space="preserve"> </w:t>
      </w:r>
      <w:r w:rsidR="00152597">
        <w:t>reduced</w:t>
      </w:r>
      <w:r w:rsidR="0063347E">
        <w:t xml:space="preserve"> </w:t>
      </w:r>
      <w:r w:rsidR="007E1F2B">
        <w:t>demand for imported capital goods</w:t>
      </w:r>
      <w:r w:rsidR="00152597">
        <w:t xml:space="preserve"> </w:t>
      </w:r>
      <w:r w:rsidR="00297DB2">
        <w:t>help</w:t>
      </w:r>
      <w:r w:rsidR="0063347E">
        <w:t>s</w:t>
      </w:r>
      <w:r w:rsidR="00297DB2">
        <w:t xml:space="preserve"> </w:t>
      </w:r>
      <w:r w:rsidR="00152597">
        <w:t xml:space="preserve">maintain </w:t>
      </w:r>
      <w:r w:rsidR="00C437AA">
        <w:lastRenderedPageBreak/>
        <w:t xml:space="preserve">external </w:t>
      </w:r>
      <w:r w:rsidR="004529E0">
        <w:t>balance</w:t>
      </w:r>
      <w:r w:rsidR="00152597">
        <w:t xml:space="preserve"> without a large de</w:t>
      </w:r>
      <w:r w:rsidR="0063347E">
        <w:t>preciation of the real exchange rate</w:t>
      </w:r>
      <w:r w:rsidR="007E154D">
        <w:t xml:space="preserve">. </w:t>
      </w:r>
      <w:r w:rsidR="00152597">
        <w:t>At the same time, reduced FDI implies a reduction in the growth rate of the capital stock. Since the model is run on a semester basis, the reduction in FDI in the first half of 2009 leads to reduced capital in the second half of 2009. Overall, by end 2009, r</w:t>
      </w:r>
      <w:r w:rsidR="001A613C">
        <w:t xml:space="preserve">eal </w:t>
      </w:r>
      <w:r w:rsidR="00D51B6F">
        <w:t xml:space="preserve">GDP declines due to reduced capital </w:t>
      </w:r>
      <w:r w:rsidR="001A613C">
        <w:t>availability</w:t>
      </w:r>
      <w:r w:rsidR="00D51B6F">
        <w:t xml:space="preserve">, </w:t>
      </w:r>
      <w:r w:rsidR="0063347E">
        <w:t xml:space="preserve">lower levels of </w:t>
      </w:r>
      <w:r w:rsidR="001A613C">
        <w:t xml:space="preserve">labor </w:t>
      </w:r>
      <w:r w:rsidR="00D51B6F">
        <w:t>employment, and decline</w:t>
      </w:r>
      <w:r w:rsidR="001A613C">
        <w:t>s</w:t>
      </w:r>
      <w:r w:rsidR="00D51B6F">
        <w:t xml:space="preserve"> in </w:t>
      </w:r>
      <w:r w:rsidR="003755B4">
        <w:t>factor-</w:t>
      </w:r>
      <w:r w:rsidR="000115BA">
        <w:t xml:space="preserve">specific </w:t>
      </w:r>
      <w:r w:rsidR="00D51B6F">
        <w:t>productivity growth</w:t>
      </w:r>
      <w:r w:rsidR="000115BA">
        <w:t xml:space="preserve"> of 0.5 and 1.</w:t>
      </w:r>
      <w:r w:rsidR="00894958">
        <w:t>5</w:t>
      </w:r>
      <w:r w:rsidR="000115BA">
        <w:t xml:space="preserve"> percentage points </w:t>
      </w:r>
      <w:r w:rsidR="00894958">
        <w:t xml:space="preserve">for rural and urban </w:t>
      </w:r>
      <w:r w:rsidR="000115BA">
        <w:t>factors respectively</w:t>
      </w:r>
      <w:r w:rsidR="00D51B6F">
        <w:t xml:space="preserve">. </w:t>
      </w:r>
      <w:r w:rsidR="002A1C6B">
        <w:t xml:space="preserve">This decline in economic activity </w:t>
      </w:r>
      <w:r w:rsidR="00C73472">
        <w:t xml:space="preserve">causes </w:t>
      </w:r>
      <w:r w:rsidR="002F4DCF">
        <w:t xml:space="preserve">household incomes and </w:t>
      </w:r>
      <w:r w:rsidR="002A1C6B">
        <w:t xml:space="preserve">real consumption spending </w:t>
      </w:r>
      <w:r w:rsidR="00C73472">
        <w:t>to fall</w:t>
      </w:r>
      <w:r w:rsidR="002A1C6B">
        <w:t xml:space="preserve">. </w:t>
      </w:r>
      <w:r w:rsidR="001A613C">
        <w:t>T</w:t>
      </w:r>
      <w:r w:rsidR="002F4DCF">
        <w:t xml:space="preserve">he results for the Remittances scenario </w:t>
      </w:r>
      <w:r w:rsidR="001A613C">
        <w:t xml:space="preserve">indicate </w:t>
      </w:r>
      <w:r w:rsidR="002F4DCF">
        <w:t xml:space="preserve">that half </w:t>
      </w:r>
      <w:r w:rsidR="0018625E">
        <w:t xml:space="preserve">of </w:t>
      </w:r>
      <w:r w:rsidR="00730E0A">
        <w:t xml:space="preserve">the </w:t>
      </w:r>
      <w:r w:rsidR="002F4DCF">
        <w:t xml:space="preserve">overall </w:t>
      </w:r>
      <w:r w:rsidR="00730E0A">
        <w:t>decline in consumption</w:t>
      </w:r>
      <w:r w:rsidR="002F4DCF">
        <w:t xml:space="preserve"> </w:t>
      </w:r>
      <w:r w:rsidR="001A613C">
        <w:t xml:space="preserve">spending </w:t>
      </w:r>
      <w:r w:rsidR="002F4DCF">
        <w:t xml:space="preserve">during the financial crisis </w:t>
      </w:r>
      <w:r w:rsidR="001A613C">
        <w:t xml:space="preserve">was </w:t>
      </w:r>
      <w:r w:rsidR="007E0643">
        <w:t xml:space="preserve">due to </w:t>
      </w:r>
      <w:r w:rsidR="00C31AB3">
        <w:t xml:space="preserve">falling </w:t>
      </w:r>
      <w:r w:rsidR="007E0643">
        <w:t>remittances, which directly affect</w:t>
      </w:r>
      <w:r w:rsidR="00215B4A">
        <w:t>s</w:t>
      </w:r>
      <w:r w:rsidR="007E0643">
        <w:t xml:space="preserve"> households' incomes. </w:t>
      </w:r>
      <w:r w:rsidR="00CE5045">
        <w:t>Declining remittance inflows also reduces the real appreciation.</w:t>
      </w:r>
    </w:p>
    <w:p w:rsidR="00325399" w:rsidRDefault="00C2041F" w:rsidP="000259DE">
      <w:pPr>
        <w:spacing w:after="120"/>
        <w:jc w:val="both"/>
      </w:pPr>
      <w:r>
        <w:t xml:space="preserve">The largest </w:t>
      </w:r>
      <w:r w:rsidR="00AB47C9">
        <w:t xml:space="preserve">reduction in economic growth following the crisis was </w:t>
      </w:r>
      <w:r>
        <w:t xml:space="preserve">in </w:t>
      </w:r>
      <w:r w:rsidR="00DA3A71">
        <w:t>manufacturing</w:t>
      </w:r>
      <w:r w:rsidR="00E51A69">
        <w:t xml:space="preserve"> and other industry</w:t>
      </w:r>
      <w:r w:rsidR="000115BA">
        <w:t xml:space="preserve">. This is consistent with the declines in prices, demand, and foreign direct investment actually observed. </w:t>
      </w:r>
      <w:r w:rsidR="00725445">
        <w:t>T</w:t>
      </w:r>
      <w:r w:rsidR="00921360">
        <w:t xml:space="preserve">he largest declines in production were </w:t>
      </w:r>
      <w:r w:rsidR="0009036A">
        <w:t xml:space="preserve">for </w:t>
      </w:r>
      <w:r w:rsidR="00921360">
        <w:t xml:space="preserve">textiles and clothing. </w:t>
      </w:r>
      <w:r w:rsidR="00A441C8">
        <w:t xml:space="preserve">Machinery and construction (i.e., "other industry") also </w:t>
      </w:r>
      <w:r w:rsidR="00B84B4D">
        <w:t xml:space="preserve">contracted </w:t>
      </w:r>
      <w:r w:rsidR="00A8400D">
        <w:t xml:space="preserve">sharply </w:t>
      </w:r>
      <w:r w:rsidR="00280BDC">
        <w:t xml:space="preserve">because of lower </w:t>
      </w:r>
      <w:r w:rsidR="00A441C8">
        <w:t>investment</w:t>
      </w:r>
      <w:r w:rsidR="002E5610">
        <w:t xml:space="preserve"> demand</w:t>
      </w:r>
      <w:r w:rsidR="00000F3F">
        <w:t>, which uses these commodities intensively</w:t>
      </w:r>
      <w:r w:rsidR="00A441C8">
        <w:t xml:space="preserve">. </w:t>
      </w:r>
      <w:r w:rsidR="001B75D3">
        <w:t>FDI account</w:t>
      </w:r>
      <w:r w:rsidR="002E61C4">
        <w:t>s</w:t>
      </w:r>
      <w:r w:rsidR="001B75D3">
        <w:t xml:space="preserve"> for </w:t>
      </w:r>
      <w:r w:rsidR="002E61C4">
        <w:t xml:space="preserve">about a tenth and a third </w:t>
      </w:r>
      <w:r w:rsidR="001B75D3">
        <w:t xml:space="preserve">of </w:t>
      </w:r>
      <w:r w:rsidR="008832CD">
        <w:t xml:space="preserve">total </w:t>
      </w:r>
      <w:r w:rsidR="001B75D3">
        <w:t>investment in agriculture and agro-processing respectively</w:t>
      </w:r>
      <w:r w:rsidR="0028091C">
        <w:t xml:space="preserve">, and so these </w:t>
      </w:r>
      <w:r w:rsidR="00092C0D">
        <w:t xml:space="preserve">sectors </w:t>
      </w:r>
      <w:r w:rsidR="00CE5045">
        <w:t>contracted in the FDI Outflows scenario</w:t>
      </w:r>
      <w:r w:rsidR="00D53F27">
        <w:t xml:space="preserve">. </w:t>
      </w:r>
      <w:r w:rsidR="008941A2">
        <w:t>D</w:t>
      </w:r>
      <w:r w:rsidR="00D53F27">
        <w:t xml:space="preserve">eclining </w:t>
      </w:r>
      <w:r w:rsidR="008B1414">
        <w:t xml:space="preserve">world </w:t>
      </w:r>
      <w:r w:rsidR="00D53F27">
        <w:t xml:space="preserve">prices </w:t>
      </w:r>
      <w:r w:rsidR="00F5636B">
        <w:t>and weaker consumer demand</w:t>
      </w:r>
      <w:r w:rsidR="008941A2">
        <w:t xml:space="preserve"> </w:t>
      </w:r>
      <w:r w:rsidR="00CE5045">
        <w:t xml:space="preserve">also </w:t>
      </w:r>
      <w:r w:rsidR="008941A2">
        <w:t xml:space="preserve">contributed to </w:t>
      </w:r>
      <w:r w:rsidR="00A35C84">
        <w:t xml:space="preserve">the </w:t>
      </w:r>
      <w:r w:rsidR="008941A2">
        <w:t>declin</w:t>
      </w:r>
      <w:r w:rsidR="00A35C84">
        <w:t xml:space="preserve">e </w:t>
      </w:r>
      <w:r w:rsidR="00164CFD">
        <w:t xml:space="preserve">of </w:t>
      </w:r>
      <w:r w:rsidR="00B564C0">
        <w:t>agricultur</w:t>
      </w:r>
      <w:r w:rsidR="00164CFD">
        <w:t>e</w:t>
      </w:r>
      <w:r w:rsidR="00CE5045">
        <w:t xml:space="preserve"> during the financial crisis</w:t>
      </w:r>
      <w:r w:rsidR="008B1414">
        <w:t>.</w:t>
      </w:r>
      <w:r w:rsidR="00090030">
        <w:t xml:space="preserve"> </w:t>
      </w:r>
      <w:r w:rsidR="00BA1B42">
        <w:t>The</w:t>
      </w:r>
      <w:r w:rsidR="002A7ADC">
        <w:t>se</w:t>
      </w:r>
      <w:r w:rsidR="00BA1B42">
        <w:t xml:space="preserve"> </w:t>
      </w:r>
      <w:r w:rsidR="00302D71">
        <w:t>results are consistent with</w:t>
      </w:r>
      <w:r w:rsidR="00B04AB2">
        <w:t xml:space="preserve"> the</w:t>
      </w:r>
      <w:r w:rsidR="00302D71">
        <w:t xml:space="preserve"> </w:t>
      </w:r>
      <w:r w:rsidR="002A7ADC">
        <w:t xml:space="preserve">observed </w:t>
      </w:r>
      <w:r w:rsidR="005F6F1F">
        <w:t>decline</w:t>
      </w:r>
      <w:r w:rsidR="00BA1B42">
        <w:t>s</w:t>
      </w:r>
      <w:r w:rsidR="005F6F1F">
        <w:t xml:space="preserve"> in </w:t>
      </w:r>
      <w:r w:rsidR="002A7ADC">
        <w:t xml:space="preserve">sector GDP </w:t>
      </w:r>
      <w:r w:rsidR="00BA1B42">
        <w:t>in 2009</w:t>
      </w:r>
      <w:r w:rsidR="00302D71">
        <w:t xml:space="preserve">. </w:t>
      </w:r>
    </w:p>
    <w:p w:rsidR="008B4814" w:rsidRDefault="00BB5D06" w:rsidP="000259DE">
      <w:pPr>
        <w:spacing w:after="120"/>
        <w:jc w:val="both"/>
      </w:pPr>
      <w:r>
        <w:t>The financial crisis caused e</w:t>
      </w:r>
      <w:r w:rsidR="00581497">
        <w:t xml:space="preserve">mployment </w:t>
      </w:r>
      <w:r>
        <w:t xml:space="preserve">to fall </w:t>
      </w:r>
      <w:r w:rsidR="00325399">
        <w:t xml:space="preserve">by </w:t>
      </w:r>
      <w:r w:rsidR="00992564">
        <w:t>1</w:t>
      </w:r>
      <w:r w:rsidR="00B10A0D">
        <w:t>.</w:t>
      </w:r>
      <w:r w:rsidR="00992564">
        <w:t>1</w:t>
      </w:r>
      <w:r w:rsidR="00A22A97">
        <w:t>%</w:t>
      </w:r>
      <w:r w:rsidR="00325399">
        <w:t xml:space="preserve"> </w:t>
      </w:r>
      <w:r w:rsidR="00B10A0D">
        <w:t xml:space="preserve">relative to the </w:t>
      </w:r>
      <w:r w:rsidR="00992564">
        <w:t xml:space="preserve">employment levels </w:t>
      </w:r>
      <w:r w:rsidR="00725445">
        <w:t xml:space="preserve">obtained in </w:t>
      </w:r>
      <w:r w:rsidR="000448F6">
        <w:t xml:space="preserve">following </w:t>
      </w:r>
      <w:r w:rsidR="00725445">
        <w:t xml:space="preserve">the </w:t>
      </w:r>
      <w:r w:rsidR="002A7ADC">
        <w:t xml:space="preserve">food and fuel </w:t>
      </w:r>
      <w:r w:rsidR="00725445">
        <w:t xml:space="preserve">crisis. </w:t>
      </w:r>
      <w:r w:rsidR="002A7ADC">
        <w:t xml:space="preserve">More than </w:t>
      </w:r>
      <w:r w:rsidR="003400EB">
        <w:t xml:space="preserve">90% </w:t>
      </w:r>
      <w:r w:rsidR="00724860">
        <w:t xml:space="preserve">of the </w:t>
      </w:r>
      <w:r w:rsidR="002A7ADC">
        <w:t>43</w:t>
      </w:r>
      <w:r w:rsidR="0009403B">
        <w:t>0</w:t>
      </w:r>
      <w:r w:rsidR="00724860">
        <w:t xml:space="preserve">,000 </w:t>
      </w:r>
      <w:r w:rsidR="00FB0534">
        <w:t xml:space="preserve">job losses </w:t>
      </w:r>
      <w:r w:rsidR="00D71C5D">
        <w:t>were in rural areas</w:t>
      </w:r>
      <w:r w:rsidR="00152597">
        <w:t xml:space="preserve">, which </w:t>
      </w:r>
      <w:r w:rsidR="00684C5C">
        <w:t xml:space="preserve">is where </w:t>
      </w:r>
      <w:r w:rsidR="003400EB">
        <w:t xml:space="preserve">most </w:t>
      </w:r>
      <w:r w:rsidR="00BE5D52">
        <w:t xml:space="preserve">of the workforce </w:t>
      </w:r>
      <w:r w:rsidR="00D05145">
        <w:t>is employed</w:t>
      </w:r>
      <w:r w:rsidR="00087195">
        <w:t>. However</w:t>
      </w:r>
      <w:r w:rsidR="000C0DCD">
        <w:t xml:space="preserve">, urban </w:t>
      </w:r>
      <w:r w:rsidR="00954216">
        <w:t xml:space="preserve">employment </w:t>
      </w:r>
      <w:r w:rsidR="00725445">
        <w:t xml:space="preserve">also </w:t>
      </w:r>
      <w:r w:rsidR="00954216">
        <w:t xml:space="preserve">fell. </w:t>
      </w:r>
      <w:r w:rsidR="002179C0">
        <w:t>The share of the population below the US$2</w:t>
      </w:r>
      <w:r w:rsidR="00BF349C">
        <w:t>-a-day</w:t>
      </w:r>
      <w:r w:rsidR="002179C0">
        <w:t xml:space="preserve"> poverty line increased by </w:t>
      </w:r>
      <w:r w:rsidR="003B62D2">
        <w:t xml:space="preserve">3.3 </w:t>
      </w:r>
      <w:r w:rsidR="00725445">
        <w:t xml:space="preserve">percentage points relative to the level attained in the </w:t>
      </w:r>
      <w:r w:rsidR="00087195">
        <w:t xml:space="preserve">food/fuel scenario </w:t>
      </w:r>
      <w:r w:rsidR="00725445">
        <w:t xml:space="preserve">in 2009. </w:t>
      </w:r>
      <w:r w:rsidR="006917E5">
        <w:t xml:space="preserve">This is equivalent to an additional </w:t>
      </w:r>
      <w:r w:rsidR="003B62D2">
        <w:t xml:space="preserve">three </w:t>
      </w:r>
      <w:r w:rsidR="006917E5">
        <w:t xml:space="preserve">million people living below the poverty as a result of the financial crisis. </w:t>
      </w:r>
      <w:r w:rsidR="00B04AB2">
        <w:t>Furthermore, even though agriculture experienced</w:t>
      </w:r>
      <w:r w:rsidR="005328CF">
        <w:t xml:space="preserve"> the smallest relative contraction in output, rural poverty increases by more</w:t>
      </w:r>
      <w:r w:rsidR="009E4114">
        <w:t xml:space="preserve"> than in urban areas</w:t>
      </w:r>
      <w:r w:rsidR="008639D8">
        <w:t xml:space="preserve"> due to the declines, including</w:t>
      </w:r>
      <w:r w:rsidR="00BA4F46">
        <w:t xml:space="preserve"> job losses</w:t>
      </w:r>
      <w:r w:rsidR="008639D8">
        <w:t>, in</w:t>
      </w:r>
      <w:r w:rsidR="00CD38FB">
        <w:t xml:space="preserve"> labor-intensive crop production</w:t>
      </w:r>
      <w:r w:rsidR="008639D8">
        <w:t>. The bunching of rural households at consumption levels near the poverty line also implies a greater sensitivity of the poverty rate to consumption changes in rural versus urban areas</w:t>
      </w:r>
      <w:r w:rsidR="005328CF">
        <w:t xml:space="preserve">. </w:t>
      </w:r>
    </w:p>
    <w:p w:rsidR="00D45424" w:rsidRDefault="00D45424" w:rsidP="00056ED5">
      <w:pPr>
        <w:spacing w:after="120"/>
        <w:rPr>
          <w:i/>
        </w:rPr>
      </w:pPr>
      <w:r>
        <w:rPr>
          <w:i/>
        </w:rPr>
        <w:t xml:space="preserve">The </w:t>
      </w:r>
      <w:r w:rsidR="00AC42A7">
        <w:rPr>
          <w:i/>
        </w:rPr>
        <w:t xml:space="preserve">2009 </w:t>
      </w:r>
      <w:r>
        <w:rPr>
          <w:i/>
        </w:rPr>
        <w:t>government stimulus package</w:t>
      </w:r>
    </w:p>
    <w:p w:rsidR="00C63807" w:rsidRDefault="00110BBD" w:rsidP="0056110E">
      <w:pPr>
        <w:spacing w:after="120"/>
        <w:jc w:val="both"/>
      </w:pPr>
      <w:r>
        <w:t>F</w:t>
      </w:r>
      <w:r w:rsidR="00161CE0">
        <w:t xml:space="preserve">our </w:t>
      </w:r>
      <w:r w:rsidR="001F33AF">
        <w:t xml:space="preserve">components </w:t>
      </w:r>
      <w:r w:rsidR="00F3247C">
        <w:t xml:space="preserve">of the stimulus package </w:t>
      </w:r>
      <w:r>
        <w:t xml:space="preserve">are simulated, namely </w:t>
      </w:r>
      <w:r w:rsidR="00F3247C">
        <w:t xml:space="preserve">interest rate support </w:t>
      </w:r>
      <w:r w:rsidR="00686FDE">
        <w:t>to the private sector</w:t>
      </w:r>
      <w:r w:rsidR="0075303A">
        <w:t>;</w:t>
      </w:r>
      <w:r w:rsidR="00F3247C">
        <w:t xml:space="preserve"> </w:t>
      </w:r>
      <w:r w:rsidR="00C911FA">
        <w:t xml:space="preserve">public </w:t>
      </w:r>
      <w:r w:rsidR="00F3247C">
        <w:t>investments in agriculture</w:t>
      </w:r>
      <w:r w:rsidR="0075303A">
        <w:t>;</w:t>
      </w:r>
      <w:r w:rsidR="00F3247C">
        <w:t xml:space="preserve"> </w:t>
      </w:r>
      <w:r w:rsidR="006F7512">
        <w:t xml:space="preserve">direct tax </w:t>
      </w:r>
      <w:r w:rsidR="00F44222">
        <w:t>relief</w:t>
      </w:r>
      <w:r w:rsidR="0075303A">
        <w:t>;</w:t>
      </w:r>
      <w:r w:rsidR="00F44222">
        <w:t xml:space="preserve"> </w:t>
      </w:r>
      <w:r w:rsidR="006F7512">
        <w:t>and social transfers to households.</w:t>
      </w:r>
      <w:r w:rsidR="00DE3902">
        <w:rPr>
          <w:rStyle w:val="FootnoteReference"/>
        </w:rPr>
        <w:footnoteReference w:id="8"/>
      </w:r>
      <w:r w:rsidR="006F7512">
        <w:t xml:space="preserve"> </w:t>
      </w:r>
      <w:r w:rsidR="00012C8A">
        <w:t>W</w:t>
      </w:r>
      <w:r w:rsidR="00CA3B12">
        <w:t xml:space="preserve">e assume that the government draws on foreign reserves </w:t>
      </w:r>
      <w:r w:rsidR="00161CE0">
        <w:t xml:space="preserve">in order to </w:t>
      </w:r>
      <w:r w:rsidR="00CA3B12">
        <w:t xml:space="preserve">inject funds into the private sector. </w:t>
      </w:r>
      <w:r w:rsidR="00F56F2A">
        <w:t xml:space="preserve">This </w:t>
      </w:r>
      <w:r w:rsidR="00671F23">
        <w:t xml:space="preserve">lowers </w:t>
      </w:r>
      <w:r w:rsidR="00F56F2A">
        <w:t xml:space="preserve">the decline in investment demand </w:t>
      </w:r>
      <w:r w:rsidR="00B43C90">
        <w:t xml:space="preserve">relative to </w:t>
      </w:r>
      <w:r w:rsidR="00012C8A">
        <w:t>the remittances scenario</w:t>
      </w:r>
      <w:r w:rsidR="001D6C62">
        <w:t xml:space="preserve"> (</w:t>
      </w:r>
      <w:r w:rsidR="000D760D">
        <w:t xml:space="preserve">see </w:t>
      </w:r>
      <w:r w:rsidR="00270D7C">
        <w:t xml:space="preserve">the final column in </w:t>
      </w:r>
      <w:r w:rsidR="001D6C62">
        <w:t xml:space="preserve">Table </w:t>
      </w:r>
      <w:r w:rsidR="000D760D">
        <w:t>7</w:t>
      </w:r>
      <w:r w:rsidR="001D6C62">
        <w:t>)</w:t>
      </w:r>
      <w:r w:rsidR="00B43C90">
        <w:t xml:space="preserve">. </w:t>
      </w:r>
      <w:r w:rsidR="00CD2910">
        <w:t xml:space="preserve">Tax relief and social transfers </w:t>
      </w:r>
      <w:r w:rsidR="00671F23">
        <w:t xml:space="preserve">also increase </w:t>
      </w:r>
      <w:r w:rsidR="00CD2910">
        <w:t>consumption spending</w:t>
      </w:r>
      <w:r w:rsidR="00D24836">
        <w:t xml:space="preserve">, </w:t>
      </w:r>
      <w:r w:rsidR="00661B51">
        <w:t xml:space="preserve">although it is insufficient to fully compensate for </w:t>
      </w:r>
      <w:r w:rsidR="00443A5D">
        <w:t xml:space="preserve">the decline in household </w:t>
      </w:r>
      <w:r w:rsidR="00661B51">
        <w:t>incomes</w:t>
      </w:r>
      <w:r w:rsidR="00612D07">
        <w:t xml:space="preserve"> caused by the </w:t>
      </w:r>
      <w:r w:rsidR="00930AFD">
        <w:t xml:space="preserve">financial </w:t>
      </w:r>
      <w:r w:rsidR="00612D07">
        <w:t>crisis</w:t>
      </w:r>
      <w:r w:rsidR="00661B51">
        <w:t xml:space="preserve">. </w:t>
      </w:r>
      <w:r w:rsidR="00C65192">
        <w:t>The i</w:t>
      </w:r>
      <w:r w:rsidR="005C4BFD">
        <w:t xml:space="preserve">ncrease in recurrent </w:t>
      </w:r>
      <w:r w:rsidR="00686EAD">
        <w:t xml:space="preserve">government </w:t>
      </w:r>
      <w:r w:rsidR="00987620">
        <w:t xml:space="preserve">spending </w:t>
      </w:r>
      <w:r w:rsidR="00686EAD">
        <w:t xml:space="preserve">reflects </w:t>
      </w:r>
      <w:r w:rsidR="00B539B2">
        <w:t xml:space="preserve">additional </w:t>
      </w:r>
      <w:r w:rsidR="00987620">
        <w:t xml:space="preserve">expenditure </w:t>
      </w:r>
      <w:r w:rsidR="00B539B2">
        <w:t>on agriculture</w:t>
      </w:r>
      <w:r w:rsidR="005C4BFD">
        <w:t>.</w:t>
      </w:r>
      <w:r w:rsidR="00006943">
        <w:t xml:space="preserve"> Together </w:t>
      </w:r>
      <w:r w:rsidR="00F16E78">
        <w:t xml:space="preserve">the increase in </w:t>
      </w:r>
      <w:r w:rsidR="00006943">
        <w:t xml:space="preserve">investment, consumption and </w:t>
      </w:r>
      <w:r w:rsidR="00F7013A">
        <w:t>recurrent</w:t>
      </w:r>
      <w:r w:rsidR="00006943">
        <w:t xml:space="preserve"> spending offsets some of the </w:t>
      </w:r>
      <w:r w:rsidR="00AA7B43">
        <w:t xml:space="preserve">decline </w:t>
      </w:r>
      <w:r w:rsidR="00006943">
        <w:t>in absorption</w:t>
      </w:r>
      <w:r w:rsidR="00F16E78">
        <w:t xml:space="preserve"> caused by </w:t>
      </w:r>
      <w:r w:rsidR="00F16E78">
        <w:lastRenderedPageBreak/>
        <w:t>the financial crisis</w:t>
      </w:r>
      <w:r w:rsidR="00006943">
        <w:t xml:space="preserve">. </w:t>
      </w:r>
      <w:r w:rsidR="00012C8A">
        <w:t xml:space="preserve">The use of foreign exchange reserves drives a real appreciation in the currency relative to the remittances scenario thus encouraging imports and </w:t>
      </w:r>
      <w:r w:rsidR="00AC0FD2">
        <w:t xml:space="preserve">further </w:t>
      </w:r>
      <w:r w:rsidR="00012C8A">
        <w:t xml:space="preserve">reducing exports. </w:t>
      </w:r>
      <w:r w:rsidR="009E5938">
        <w:t xml:space="preserve">  </w:t>
      </w:r>
    </w:p>
    <w:p w:rsidR="006A20A2" w:rsidRDefault="001D6C62" w:rsidP="0011496A">
      <w:pPr>
        <w:spacing w:after="120"/>
        <w:jc w:val="both"/>
      </w:pPr>
      <w:r>
        <w:t xml:space="preserve">Agricultural GDP growth </w:t>
      </w:r>
      <w:r w:rsidR="00CB04E2">
        <w:t xml:space="preserve">accelerates </w:t>
      </w:r>
      <w:r>
        <w:t xml:space="preserve">under the </w:t>
      </w:r>
      <w:r w:rsidR="00DD7CC6">
        <w:t xml:space="preserve">simulated </w:t>
      </w:r>
      <w:r>
        <w:t>stimulus package</w:t>
      </w:r>
      <w:r w:rsidR="00DD7CC6">
        <w:t xml:space="preserve">. </w:t>
      </w:r>
      <w:r w:rsidR="006527C9">
        <w:t xml:space="preserve">This </w:t>
      </w:r>
      <w:r w:rsidR="0018228C">
        <w:t xml:space="preserve">reduces </w:t>
      </w:r>
      <w:r w:rsidR="006527C9">
        <w:t xml:space="preserve">the decline in rural employment. </w:t>
      </w:r>
      <w:r w:rsidR="009C2AC8">
        <w:t>Increased investment generates immediate demand for construction</w:t>
      </w:r>
      <w:r w:rsidR="00CF53A9">
        <w:t xml:space="preserve"> (i.e., "other industry"</w:t>
      </w:r>
      <w:r w:rsidR="00C37E77">
        <w:t>)</w:t>
      </w:r>
      <w:r w:rsidR="009C2AC8">
        <w:t xml:space="preserve">, which </w:t>
      </w:r>
      <w:r w:rsidR="00DD5A24">
        <w:t xml:space="preserve">now </w:t>
      </w:r>
      <w:r w:rsidR="009C2AC8">
        <w:t>declines at a slower rate</w:t>
      </w:r>
      <w:r w:rsidR="00C37E77">
        <w:t xml:space="preserve">. </w:t>
      </w:r>
      <w:r w:rsidR="00796231">
        <w:t>The o</w:t>
      </w:r>
      <w:r w:rsidR="009C2AC8">
        <w:t xml:space="preserve">verall </w:t>
      </w:r>
      <w:r w:rsidR="00796231">
        <w:t xml:space="preserve">decline </w:t>
      </w:r>
      <w:r w:rsidR="009C2AC8">
        <w:t>i</w:t>
      </w:r>
      <w:r w:rsidR="00847C91">
        <w:t xml:space="preserve">ndustrial </w:t>
      </w:r>
      <w:r w:rsidR="00796231">
        <w:t xml:space="preserve">GDP caused by the financial crisis is </w:t>
      </w:r>
      <w:r w:rsidR="00C37E77">
        <w:t xml:space="preserve">also </w:t>
      </w:r>
      <w:r w:rsidR="00796231">
        <w:t xml:space="preserve">lessened by the stimulus package </w:t>
      </w:r>
      <w:r w:rsidR="00C37E77">
        <w:t>due to higher productivity levels</w:t>
      </w:r>
      <w:r w:rsidR="00847C91">
        <w:t xml:space="preserve">, </w:t>
      </w:r>
      <w:r w:rsidR="00B11A5B">
        <w:t xml:space="preserve">and despite the </w:t>
      </w:r>
      <w:r w:rsidR="00847C91">
        <w:t xml:space="preserve">lag between providing interest rate support and the eventual </w:t>
      </w:r>
      <w:r w:rsidR="00611DF2">
        <w:t xml:space="preserve">translation of higher investment into new </w:t>
      </w:r>
      <w:r w:rsidR="00847C91">
        <w:t>capital stocks.</w:t>
      </w:r>
      <w:r w:rsidR="00BA3B93">
        <w:t xml:space="preserve"> </w:t>
      </w:r>
      <w:r w:rsidR="00796231">
        <w:t>However</w:t>
      </w:r>
      <w:r w:rsidR="00BA3B93">
        <w:t xml:space="preserve">, </w:t>
      </w:r>
      <w:r w:rsidR="00AB369B">
        <w:t xml:space="preserve">manufacturing </w:t>
      </w:r>
      <w:r w:rsidR="00BA3B93">
        <w:t xml:space="preserve">relies on external demand, which is </w:t>
      </w:r>
      <w:r w:rsidR="00DB072C">
        <w:t>un</w:t>
      </w:r>
      <w:r w:rsidR="00BA3B93">
        <w:t xml:space="preserve">affected by the stimulus package. </w:t>
      </w:r>
      <w:r w:rsidR="00796231">
        <w:t xml:space="preserve">Thus, manufacturing growth remains largely unchanged. </w:t>
      </w:r>
      <w:r w:rsidR="0062106F">
        <w:t>Rather</w:t>
      </w:r>
      <w:r w:rsidR="00012C8A">
        <w:t>,</w:t>
      </w:r>
      <w:r w:rsidR="0062106F">
        <w:t xml:space="preserve"> it is </w:t>
      </w:r>
      <w:r w:rsidR="00796231">
        <w:t xml:space="preserve">in </w:t>
      </w:r>
      <w:r w:rsidR="000F24F4">
        <w:t xml:space="preserve">the </w:t>
      </w:r>
      <w:r w:rsidR="0062106F">
        <w:t>service</w:t>
      </w:r>
      <w:r w:rsidR="00DB072C">
        <w:t xml:space="preserve"> sectors</w:t>
      </w:r>
      <w:r w:rsidR="0062106F">
        <w:t xml:space="preserve"> </w:t>
      </w:r>
      <w:r w:rsidR="00DB072C">
        <w:t xml:space="preserve">that </w:t>
      </w:r>
      <w:r w:rsidR="0062106F">
        <w:t xml:space="preserve">the stimulus package </w:t>
      </w:r>
      <w:r w:rsidR="00DB072C">
        <w:t xml:space="preserve">generates additional </w:t>
      </w:r>
      <w:r w:rsidR="0062106F">
        <w:t xml:space="preserve">urban employment. </w:t>
      </w:r>
      <w:r w:rsidR="009F2383">
        <w:t>Lowering taxes and providing social transfers increases households' demand for consumer goods</w:t>
      </w:r>
      <w:r w:rsidR="00796231">
        <w:t>. N</w:t>
      </w:r>
      <w:r w:rsidR="009F2383">
        <w:t xml:space="preserve">on-traded services, unlike industry, </w:t>
      </w:r>
      <w:r w:rsidR="008E7EA6">
        <w:t xml:space="preserve">are </w:t>
      </w:r>
      <w:r w:rsidR="009F2383">
        <w:t xml:space="preserve">less affected by import competition caused by the real appreciation. </w:t>
      </w:r>
      <w:r w:rsidR="008E7EA6">
        <w:t>The</w:t>
      </w:r>
      <w:r w:rsidR="00DA6A76">
        <w:t>se</w:t>
      </w:r>
      <w:r w:rsidR="008E7EA6">
        <w:t xml:space="preserve"> results suggest that </w:t>
      </w:r>
      <w:r w:rsidR="0051180D">
        <w:t xml:space="preserve">some of </w:t>
      </w:r>
      <w:r w:rsidR="008E7EA6">
        <w:t>the resurgence in agriculture</w:t>
      </w:r>
      <w:r w:rsidR="00796231">
        <w:t>, construction</w:t>
      </w:r>
      <w:r w:rsidR="008E7EA6">
        <w:t xml:space="preserve"> and services</w:t>
      </w:r>
      <w:r w:rsidR="00796231">
        <w:t xml:space="preserve"> during late-2009 </w:t>
      </w:r>
      <w:r w:rsidR="0051180D">
        <w:t xml:space="preserve">can be </w:t>
      </w:r>
      <w:r w:rsidR="008E7EA6">
        <w:t>attribu</w:t>
      </w:r>
      <w:r w:rsidR="0051180D">
        <w:t>ted</w:t>
      </w:r>
      <w:r w:rsidR="008E7EA6">
        <w:t xml:space="preserve"> to the stimulus package. </w:t>
      </w:r>
    </w:p>
    <w:p w:rsidR="00A7441B" w:rsidRDefault="003E61DC" w:rsidP="00A7441B">
      <w:pPr>
        <w:spacing w:after="120"/>
        <w:jc w:val="both"/>
      </w:pPr>
      <w:r>
        <w:t>Ultimately, t</w:t>
      </w:r>
      <w:r w:rsidR="00C81CA5">
        <w:t xml:space="preserve">he stimulus package </w:t>
      </w:r>
      <w:r w:rsidR="00E51A69">
        <w:t>prevent</w:t>
      </w:r>
      <w:r w:rsidR="000F24F4">
        <w:t>s</w:t>
      </w:r>
      <w:r w:rsidR="00E51A69">
        <w:t xml:space="preserve"> </w:t>
      </w:r>
      <w:r w:rsidR="00A62574">
        <w:t xml:space="preserve">around two-fifths </w:t>
      </w:r>
      <w:r w:rsidR="00C81CA5">
        <w:t>of the decline in t</w:t>
      </w:r>
      <w:r w:rsidR="00E51A69">
        <w:t xml:space="preserve">otal GDP caused by the </w:t>
      </w:r>
      <w:r w:rsidR="00446DC6">
        <w:t xml:space="preserve">financial </w:t>
      </w:r>
      <w:r w:rsidR="004D7468">
        <w:t xml:space="preserve">crisis. </w:t>
      </w:r>
      <w:r w:rsidR="00567384">
        <w:t xml:space="preserve">The stimulus </w:t>
      </w:r>
      <w:r w:rsidR="00882AF6">
        <w:t xml:space="preserve">has </w:t>
      </w:r>
      <w:r w:rsidR="00E2712E">
        <w:t xml:space="preserve">a larger </w:t>
      </w:r>
      <w:r w:rsidR="00355FC3">
        <w:t>impact</w:t>
      </w:r>
      <w:r w:rsidR="00882AF6">
        <w:t>s</w:t>
      </w:r>
      <w:r w:rsidR="00355FC3">
        <w:t xml:space="preserve"> </w:t>
      </w:r>
      <w:r w:rsidR="00C81CA5">
        <w:t xml:space="preserve">on </w:t>
      </w:r>
      <w:r w:rsidR="00186119">
        <w:t>employment</w:t>
      </w:r>
      <w:r w:rsidR="006F0B2A">
        <w:t xml:space="preserve"> and </w:t>
      </w:r>
      <w:r w:rsidR="00567384">
        <w:t xml:space="preserve">causes </w:t>
      </w:r>
      <w:r w:rsidR="006F0B2A">
        <w:t>a significant reduction in poverty</w:t>
      </w:r>
      <w:r w:rsidR="00C81CA5">
        <w:t xml:space="preserve">. </w:t>
      </w:r>
      <w:r w:rsidR="000D42E0">
        <w:t>This is evident in Figure 4, which shows how the stim</w:t>
      </w:r>
      <w:r w:rsidR="00E51A69">
        <w:t xml:space="preserve">ulus package </w:t>
      </w:r>
      <w:r w:rsidR="00796231">
        <w:t xml:space="preserve">lowers </w:t>
      </w:r>
      <w:r w:rsidR="001C5DE7">
        <w:t xml:space="preserve">the increase </w:t>
      </w:r>
      <w:r w:rsidR="008639D8">
        <w:t xml:space="preserve">in </w:t>
      </w:r>
      <w:r w:rsidR="00E51A69">
        <w:t xml:space="preserve">poverty </w:t>
      </w:r>
      <w:r w:rsidR="001C5DE7">
        <w:t xml:space="preserve">caused by the financial crisis by </w:t>
      </w:r>
      <w:r w:rsidR="008639D8">
        <w:t xml:space="preserve">about </w:t>
      </w:r>
      <w:r w:rsidR="001C5DE7">
        <w:t xml:space="preserve">one third. </w:t>
      </w:r>
      <w:r w:rsidR="00423267">
        <w:t xml:space="preserve">This </w:t>
      </w:r>
      <w:r w:rsidR="004841B8">
        <w:t xml:space="preserve">means </w:t>
      </w:r>
      <w:r w:rsidR="007C76B3">
        <w:t xml:space="preserve">that </w:t>
      </w:r>
      <w:r w:rsidR="008E40E3">
        <w:t xml:space="preserve">about </w:t>
      </w:r>
      <w:r w:rsidR="008C7D6A">
        <w:t>860</w:t>
      </w:r>
      <w:r w:rsidR="004C5C51">
        <w:t xml:space="preserve">,000 </w:t>
      </w:r>
      <w:r w:rsidR="007038E0">
        <w:t xml:space="preserve">people </w:t>
      </w:r>
      <w:r w:rsidR="005432A3">
        <w:t xml:space="preserve">are </w:t>
      </w:r>
      <w:r w:rsidR="004418FF">
        <w:t xml:space="preserve">kept </w:t>
      </w:r>
      <w:r w:rsidR="007038E0">
        <w:t xml:space="preserve">above the </w:t>
      </w:r>
      <w:r w:rsidR="004418FF">
        <w:t xml:space="preserve">US$2-a-day </w:t>
      </w:r>
      <w:r w:rsidR="007038E0">
        <w:t>poverty line</w:t>
      </w:r>
      <w:r w:rsidR="00E51A69">
        <w:t xml:space="preserve"> as a result of </w:t>
      </w:r>
      <w:r w:rsidR="008E40E3">
        <w:t xml:space="preserve">the simulated </w:t>
      </w:r>
      <w:r w:rsidR="004841B8">
        <w:t>stimulus package</w:t>
      </w:r>
      <w:r w:rsidR="007038E0">
        <w:t>.</w:t>
      </w:r>
      <w:r w:rsidR="002C638E">
        <w:t xml:space="preserve"> </w:t>
      </w:r>
      <w:r w:rsidR="00A7441B">
        <w:t xml:space="preserve">While this is still above the poverty levels that would have been achieved without the financial crisis, it is </w:t>
      </w:r>
      <w:r w:rsidR="008C7D6A">
        <w:t xml:space="preserve">well </w:t>
      </w:r>
      <w:r w:rsidR="00A7441B">
        <w:t xml:space="preserve">below the baseline scenario which excludes the gains from the 2008 commodity crisis. </w:t>
      </w:r>
      <w:r w:rsidR="008C7D6A">
        <w:t xml:space="preserve">However, </w:t>
      </w:r>
      <w:r w:rsidR="0052340C">
        <w:t xml:space="preserve">the gap between </w:t>
      </w:r>
      <w:proofErr w:type="spellStart"/>
      <w:r w:rsidR="0052340C">
        <w:t>between</w:t>
      </w:r>
      <w:proofErr w:type="spellEnd"/>
      <w:r w:rsidR="0052340C">
        <w:t xml:space="preserve"> the Food/Fuel and Stimulus scenarios in </w:t>
      </w:r>
      <w:r w:rsidR="008C7D6A">
        <w:t>F</w:t>
      </w:r>
      <w:r w:rsidR="00A7441B">
        <w:t xml:space="preserve">igure </w:t>
      </w:r>
      <w:r w:rsidR="008C7D6A">
        <w:t xml:space="preserve">4 </w:t>
      </w:r>
      <w:r w:rsidR="00A7441B">
        <w:t xml:space="preserve">suggests that the </w:t>
      </w:r>
      <w:r w:rsidR="0052340C">
        <w:t xml:space="preserve">increase </w:t>
      </w:r>
      <w:r w:rsidR="00A7441B">
        <w:t xml:space="preserve">poverty caused by the </w:t>
      </w:r>
      <w:r w:rsidR="008C7D6A">
        <w:t xml:space="preserve">financial </w:t>
      </w:r>
      <w:r w:rsidR="00A7441B">
        <w:t>crisis will persist well into the future.</w:t>
      </w:r>
    </w:p>
    <w:p w:rsidR="00CB08EB" w:rsidRPr="003049B6" w:rsidRDefault="00CB08EB" w:rsidP="00CB08EB">
      <w:pPr>
        <w:spacing w:after="120"/>
        <w:jc w:val="both"/>
        <w:rPr>
          <w:i/>
        </w:rPr>
      </w:pPr>
    </w:p>
    <w:p w:rsidR="003C6EF6" w:rsidRPr="003C6EF6" w:rsidRDefault="003C6EF6" w:rsidP="00722A88">
      <w:pPr>
        <w:spacing w:after="120"/>
        <w:jc w:val="both"/>
        <w:rPr>
          <w:b/>
        </w:rPr>
      </w:pPr>
      <w:r w:rsidRPr="003C6EF6">
        <w:rPr>
          <w:b/>
        </w:rPr>
        <w:t xml:space="preserve">6. </w:t>
      </w:r>
      <w:r w:rsidR="00F3351F">
        <w:rPr>
          <w:b/>
        </w:rPr>
        <w:t>CONCLUSION</w:t>
      </w:r>
      <w:r w:rsidR="00F3351F" w:rsidRPr="003C6EF6">
        <w:rPr>
          <w:b/>
        </w:rPr>
        <w:t xml:space="preserve"> </w:t>
      </w:r>
    </w:p>
    <w:p w:rsidR="008A4FD3" w:rsidRDefault="00F07073" w:rsidP="00BF17D6">
      <w:pPr>
        <w:spacing w:after="120"/>
        <w:jc w:val="both"/>
      </w:pPr>
      <w:r>
        <w:t xml:space="preserve">From a macroeconomic perspective, </w:t>
      </w:r>
      <w:r w:rsidR="00412657">
        <w:t>Vietnam</w:t>
      </w:r>
      <w:r w:rsidR="00C1018B">
        <w:t xml:space="preserve"> has</w:t>
      </w:r>
      <w:r w:rsidR="00412657">
        <w:t xml:space="preserve"> </w:t>
      </w:r>
      <w:r w:rsidR="001D3769">
        <w:t xml:space="preserve">weathered </w:t>
      </w:r>
      <w:r w:rsidR="00412657">
        <w:t xml:space="preserve">the </w:t>
      </w:r>
      <w:r>
        <w:t xml:space="preserve">recent </w:t>
      </w:r>
      <w:r w:rsidR="006B2B5F">
        <w:t xml:space="preserve">global </w:t>
      </w:r>
      <w:r w:rsidR="00412657">
        <w:t>cris</w:t>
      </w:r>
      <w:r>
        <w:t>e</w:t>
      </w:r>
      <w:r w:rsidR="00412657">
        <w:t>s</w:t>
      </w:r>
      <w:r w:rsidR="001D3769">
        <w:t xml:space="preserve"> </w:t>
      </w:r>
      <w:r w:rsidR="00537043">
        <w:t xml:space="preserve">relatively </w:t>
      </w:r>
      <w:r w:rsidR="001D3769">
        <w:t>well</w:t>
      </w:r>
      <w:r w:rsidR="00FD7D17">
        <w:t>. However,</w:t>
      </w:r>
      <w:r w:rsidR="006B2B5F">
        <w:t xml:space="preserve"> </w:t>
      </w:r>
      <w:r w:rsidR="000938FC">
        <w:t>there is little</w:t>
      </w:r>
      <w:r w:rsidR="008A4FD3">
        <w:t xml:space="preserve"> rigorous analysis of why the effects were relatively small </w:t>
      </w:r>
      <w:r w:rsidR="00C1018B">
        <w:t xml:space="preserve">and not much </w:t>
      </w:r>
      <w:r w:rsidR="006B2B5F">
        <w:t xml:space="preserve">quantitative evidence </w:t>
      </w:r>
      <w:r w:rsidR="00C1018B">
        <w:t xml:space="preserve">is </w:t>
      </w:r>
      <w:r w:rsidR="006B2B5F">
        <w:t xml:space="preserve">available </w:t>
      </w:r>
      <w:r w:rsidR="000938FC">
        <w:t>on how workers and households</w:t>
      </w:r>
      <w:r w:rsidR="00EB10DB">
        <w:t xml:space="preserve"> were affected</w:t>
      </w:r>
      <w:r w:rsidR="000938FC">
        <w:t xml:space="preserve">, especially those at the lower end of the income distribution. </w:t>
      </w:r>
      <w:r w:rsidR="00445B82">
        <w:t>In this paper</w:t>
      </w:r>
      <w:r w:rsidR="00D0404F">
        <w:t>,</w:t>
      </w:r>
      <w:r w:rsidR="00445B82">
        <w:t xml:space="preserve"> a dynamic economy</w:t>
      </w:r>
      <w:r w:rsidR="006B2B5F">
        <w:t>-</w:t>
      </w:r>
      <w:r w:rsidR="00445B82">
        <w:t>wide model</w:t>
      </w:r>
      <w:r w:rsidR="00110BBD">
        <w:t xml:space="preserve"> </w:t>
      </w:r>
      <w:r w:rsidR="00C1018B">
        <w:t>was</w:t>
      </w:r>
      <w:r w:rsidR="00110BBD">
        <w:t xml:space="preserve"> developed</w:t>
      </w:r>
      <w:r w:rsidR="00445B82">
        <w:t xml:space="preserve"> to </w:t>
      </w:r>
      <w:r w:rsidR="008A4FD3">
        <w:t xml:space="preserve">decompose the effects of the crises and to </w:t>
      </w:r>
      <w:r w:rsidR="00445B82">
        <w:t xml:space="preserve">translate </w:t>
      </w:r>
      <w:r w:rsidR="00B96D72">
        <w:t xml:space="preserve">the </w:t>
      </w:r>
      <w:r w:rsidR="00445B82">
        <w:t xml:space="preserve">macro-level impacts of the crises </w:t>
      </w:r>
      <w:r w:rsidR="006B2B5F">
        <w:t>i</w:t>
      </w:r>
      <w:r w:rsidR="00445B82">
        <w:t xml:space="preserve">nto household incomes and poverty. </w:t>
      </w:r>
    </w:p>
    <w:p w:rsidR="00C1018B" w:rsidRDefault="00B56EB4" w:rsidP="00120F75">
      <w:pPr>
        <w:spacing w:after="120"/>
        <w:jc w:val="both"/>
      </w:pPr>
      <w:r>
        <w:t xml:space="preserve">Model results indicate that the 2008 commodity crisis </w:t>
      </w:r>
      <w:r w:rsidR="003D3589">
        <w:t>improved Vietnam's terms-of-trade</w:t>
      </w:r>
      <w:r w:rsidR="006D4710">
        <w:t>. It raised</w:t>
      </w:r>
      <w:r w:rsidR="003D3589">
        <w:t xml:space="preserve"> </w:t>
      </w:r>
      <w:r>
        <w:t xml:space="preserve">aggregate welfare and </w:t>
      </w:r>
      <w:r w:rsidR="006D4710">
        <w:t>reduced</w:t>
      </w:r>
      <w:r w:rsidR="003D3589">
        <w:t xml:space="preserve"> </w:t>
      </w:r>
      <w:r>
        <w:t>poverty</w:t>
      </w:r>
      <w:r w:rsidR="00A30C6A">
        <w:t xml:space="preserve">, mainly by </w:t>
      </w:r>
      <w:r w:rsidR="009E164A">
        <w:t xml:space="preserve">expanding </w:t>
      </w:r>
      <w:r w:rsidR="00A30C6A">
        <w:t>exports in labor-intensive sectors</w:t>
      </w:r>
      <w:r>
        <w:t>.</w:t>
      </w:r>
      <w:r w:rsidR="003D3589">
        <w:t xml:space="preserve"> </w:t>
      </w:r>
      <w:r w:rsidR="006361C7">
        <w:t>T</w:t>
      </w:r>
      <w:r w:rsidR="00854549">
        <w:t xml:space="preserve">he 2009 financial crisis reversed </w:t>
      </w:r>
      <w:r w:rsidR="001A0EA2">
        <w:t xml:space="preserve">the </w:t>
      </w:r>
      <w:r w:rsidR="00854549">
        <w:t>welfare gains</w:t>
      </w:r>
      <w:r w:rsidR="006361C7">
        <w:t xml:space="preserve"> </w:t>
      </w:r>
      <w:r w:rsidR="006B7C65">
        <w:t xml:space="preserve">from </w:t>
      </w:r>
      <w:r w:rsidR="006361C7">
        <w:t>2008</w:t>
      </w:r>
      <w:r w:rsidR="008A4FD3">
        <w:t>. E</w:t>
      </w:r>
      <w:r w:rsidR="008639D8">
        <w:t>ven though world price shifts in 2009 improved</w:t>
      </w:r>
      <w:r w:rsidR="008A4FD3">
        <w:t xml:space="preserve"> Vietnamese terms of trade </w:t>
      </w:r>
      <w:r w:rsidR="00DE3902">
        <w:t>beyond the gains observed in</w:t>
      </w:r>
      <w:r w:rsidR="008639D8">
        <w:t xml:space="preserve"> 2008</w:t>
      </w:r>
      <w:r w:rsidR="008A4FD3">
        <w:t>, reductions in demand for exports, FDI, and remittances caused a contraction in economic activity</w:t>
      </w:r>
      <w:r w:rsidR="008639D8">
        <w:t>. The financial crisis</w:t>
      </w:r>
      <w:r w:rsidR="00C76157">
        <w:t xml:space="preserve"> push</w:t>
      </w:r>
      <w:r w:rsidR="00D0404F">
        <w:t>ed</w:t>
      </w:r>
      <w:r w:rsidR="00C76157">
        <w:t xml:space="preserve"> </w:t>
      </w:r>
      <w:r w:rsidR="00FD7D17">
        <w:t xml:space="preserve">three </w:t>
      </w:r>
      <w:r w:rsidR="00E933A1">
        <w:t xml:space="preserve">million people below the </w:t>
      </w:r>
      <w:r w:rsidR="00087069">
        <w:t xml:space="preserve">US$2-a-day </w:t>
      </w:r>
      <w:r w:rsidR="00E933A1">
        <w:t>poverty line</w:t>
      </w:r>
      <w:r w:rsidR="008639D8">
        <w:t xml:space="preserve"> relative to the</w:t>
      </w:r>
      <w:r w:rsidR="00D0404F">
        <w:t xml:space="preserve"> </w:t>
      </w:r>
      <w:r w:rsidR="00D32C35">
        <w:t xml:space="preserve">food/fuel </w:t>
      </w:r>
      <w:r w:rsidR="00D0404F">
        <w:t>scenario</w:t>
      </w:r>
      <w:r w:rsidR="00E933A1">
        <w:t xml:space="preserve">. </w:t>
      </w:r>
      <w:r w:rsidR="00D0404F">
        <w:t xml:space="preserve">The vast majority of the population that </w:t>
      </w:r>
      <w:r w:rsidR="001913DB">
        <w:t xml:space="preserve">fell </w:t>
      </w:r>
      <w:r w:rsidR="00B10A0D">
        <w:t xml:space="preserve">into </w:t>
      </w:r>
      <w:r w:rsidR="00D0404F">
        <w:t>poverty reside</w:t>
      </w:r>
      <w:r w:rsidR="00FD7D17">
        <w:t>d</w:t>
      </w:r>
      <w:r w:rsidR="00D0404F">
        <w:t xml:space="preserve"> in rural areas. </w:t>
      </w:r>
      <w:r w:rsidR="006F3C9A">
        <w:t xml:space="preserve">Agriculture and the rural nonfarm economy </w:t>
      </w:r>
      <w:r w:rsidR="006F3C9A">
        <w:lastRenderedPageBreak/>
        <w:t>w</w:t>
      </w:r>
      <w:r w:rsidR="006B2B5F">
        <w:t>ere</w:t>
      </w:r>
      <w:r w:rsidR="006F3C9A">
        <w:t xml:space="preserve"> limited in their ability to cushion the effects of the </w:t>
      </w:r>
      <w:r w:rsidR="00AD433A">
        <w:t xml:space="preserve">financial </w:t>
      </w:r>
      <w:r w:rsidR="006F3C9A">
        <w:t>crisis</w:t>
      </w:r>
      <w:r w:rsidR="00FD7D17">
        <w:t xml:space="preserve">. Vietnam's agricultural sector has </w:t>
      </w:r>
      <w:r w:rsidR="008639D8">
        <w:t>a</w:t>
      </w:r>
      <w:r w:rsidR="006F3C9A">
        <w:t xml:space="preserve"> </w:t>
      </w:r>
      <w:r w:rsidR="00386FDB">
        <w:t xml:space="preserve">strong </w:t>
      </w:r>
      <w:r w:rsidR="006F3C9A">
        <w:t>export-orientation</w:t>
      </w:r>
      <w:r w:rsidR="00FD7D17">
        <w:t xml:space="preserve">, which </w:t>
      </w:r>
      <w:r w:rsidR="000B75A1">
        <w:t xml:space="preserve">makes </w:t>
      </w:r>
      <w:r w:rsidR="006F3C9A">
        <w:t xml:space="preserve">it vulnerable to </w:t>
      </w:r>
      <w:r w:rsidR="00F91428">
        <w:t>world market conditions</w:t>
      </w:r>
      <w:r w:rsidR="006F3C9A">
        <w:t>.</w:t>
      </w:r>
      <w:r w:rsidR="002B19E5">
        <w:t xml:space="preserve"> </w:t>
      </w:r>
    </w:p>
    <w:p w:rsidR="00BF17D6" w:rsidRDefault="00BF17D6" w:rsidP="00120F75">
      <w:pPr>
        <w:spacing w:after="120"/>
        <w:jc w:val="both"/>
      </w:pPr>
      <w:r>
        <w:t xml:space="preserve">The </w:t>
      </w:r>
      <w:r w:rsidR="00FD7D17">
        <w:t xml:space="preserve">simulated impact of the </w:t>
      </w:r>
      <w:r>
        <w:t xml:space="preserve">government’s stimulus package </w:t>
      </w:r>
      <w:r w:rsidR="00FD7D17">
        <w:t xml:space="preserve">shows that it has </w:t>
      </w:r>
      <w:r w:rsidR="00D0404F">
        <w:t xml:space="preserve">the potential to </w:t>
      </w:r>
      <w:r w:rsidR="007F7899">
        <w:t>offset</w:t>
      </w:r>
      <w:r>
        <w:t xml:space="preserve"> </w:t>
      </w:r>
      <w:r w:rsidR="00FD7D17">
        <w:t xml:space="preserve">some </w:t>
      </w:r>
      <w:r>
        <w:t xml:space="preserve">of the welfare losses </w:t>
      </w:r>
      <w:r w:rsidR="003049B6">
        <w:t xml:space="preserve">caused by the financial crisis and substantially reduce the impact on </w:t>
      </w:r>
      <w:r w:rsidR="00FD7D17">
        <w:t>poor households</w:t>
      </w:r>
      <w:r w:rsidR="003049B6">
        <w:t xml:space="preserve">. </w:t>
      </w:r>
      <w:r w:rsidR="00DE3902">
        <w:t xml:space="preserve">Overall, the combined net effect of the two crises had little effect on poverty </w:t>
      </w:r>
      <w:r w:rsidR="008A4FD3">
        <w:t>(</w:t>
      </w:r>
      <w:r w:rsidR="00DE3902">
        <w:t>and other principal macroeconomic indicators</w:t>
      </w:r>
      <w:r w:rsidR="008A4FD3">
        <w:t>)</w:t>
      </w:r>
      <w:r w:rsidR="00DE3902">
        <w:t xml:space="preserve"> compared with the baseline (no crises) path even assuming the stimulus policies designed to counter the financial crisis had no effect on current we</w:t>
      </w:r>
      <w:r w:rsidR="00B85B43">
        <w:t>lfare. Under the assumption of an effective stimulus package</w:t>
      </w:r>
      <w:r w:rsidR="00DE3902">
        <w:t>, poverty rates are actually lower than the baseline (no crises) path.</w:t>
      </w:r>
    </w:p>
    <w:p w:rsidR="00DE3902" w:rsidRDefault="00DE3902">
      <w:pPr>
        <w:rPr>
          <w:b/>
        </w:rPr>
      </w:pPr>
      <w:r>
        <w:rPr>
          <w:b/>
        </w:rPr>
        <w:br w:type="page"/>
      </w:r>
    </w:p>
    <w:p w:rsidR="00FE110C" w:rsidRPr="00B04967" w:rsidRDefault="00F3351F" w:rsidP="00056ED5">
      <w:pPr>
        <w:spacing w:after="120"/>
        <w:rPr>
          <w:b/>
        </w:rPr>
      </w:pPr>
      <w:r>
        <w:rPr>
          <w:b/>
        </w:rPr>
        <w:lastRenderedPageBreak/>
        <w:t>REFERENCES</w:t>
      </w:r>
    </w:p>
    <w:p w:rsidR="001A05C9" w:rsidRDefault="001A05C9" w:rsidP="00056ED5">
      <w:pPr>
        <w:spacing w:after="120"/>
        <w:ind w:left="720" w:hanging="720"/>
      </w:pPr>
      <w:r>
        <w:t xml:space="preserve">Abbott, P., J. Bentzen and F. Tarp. 2009. “Trade and Development: Lessons from Vietnam’s Past Trade Agreements”, </w:t>
      </w:r>
      <w:r w:rsidR="00A40F46" w:rsidRPr="00A40F46">
        <w:rPr>
          <w:i/>
        </w:rPr>
        <w:t>World Development</w:t>
      </w:r>
      <w:r>
        <w:t xml:space="preserve"> 37(2): pp. 341-353.</w:t>
      </w:r>
    </w:p>
    <w:p w:rsidR="000C6DC2" w:rsidRDefault="000C6DC2" w:rsidP="00056ED5">
      <w:pPr>
        <w:spacing w:after="120"/>
        <w:ind w:left="720" w:hanging="720"/>
      </w:pPr>
      <w:r>
        <w:t xml:space="preserve">Andersen, T. B., S. Jones and F. Tarp. 2008. “The current financial crisis: implications and issues for less developed countries”. </w:t>
      </w:r>
      <w:r w:rsidR="00C76095">
        <w:t>Briefing Paper, Department of Economics, University of Copenhagen.</w:t>
      </w:r>
    </w:p>
    <w:p w:rsidR="00640C1E" w:rsidRDefault="006345AB" w:rsidP="00056ED5">
      <w:pPr>
        <w:spacing w:after="120"/>
        <w:ind w:left="720" w:hanging="720"/>
      </w:pPr>
      <w:r>
        <w:t xml:space="preserve">Arndt, C., A. Garcia, </w:t>
      </w:r>
      <w:r w:rsidR="00170033">
        <w:t xml:space="preserve">H.H. </w:t>
      </w:r>
      <w:r>
        <w:t xml:space="preserve">Pham </w:t>
      </w:r>
      <w:r w:rsidR="00640C1E">
        <w:t xml:space="preserve">and J. Thurlow. 2009. “A provisional 2007 social accounting matrix for Vietnam”, unpublished manuscript, Department of </w:t>
      </w:r>
      <w:r w:rsidR="00405CA4">
        <w:t>Economics</w:t>
      </w:r>
      <w:r w:rsidR="00640C1E">
        <w:t xml:space="preserve">, University of Copenhagen, and Central Institute of Economic Management, Hanoi. </w:t>
      </w:r>
    </w:p>
    <w:p w:rsidR="00F80F50" w:rsidRDefault="00F80F50" w:rsidP="00F80F50">
      <w:pPr>
        <w:spacing w:after="120"/>
        <w:ind w:left="720" w:hanging="720"/>
      </w:pPr>
      <w:r>
        <w:t>Arndt, C. and J. Thurlow</w:t>
      </w:r>
      <w:r w:rsidR="00D0404F">
        <w:t>. 2009.</w:t>
      </w:r>
      <w:r w:rsidR="00C76095">
        <w:t xml:space="preserve"> </w:t>
      </w:r>
      <w:r>
        <w:t xml:space="preserve">“Structural Transformation, Employment and Technical Change in Vietnam”, forthcoming discussion paper, Development Economics Research Group, Department of Economics, University of Copenhagen.  </w:t>
      </w:r>
    </w:p>
    <w:p w:rsidR="00F97EE8" w:rsidRDefault="00F97EE8" w:rsidP="00F80F50">
      <w:pPr>
        <w:spacing w:after="120"/>
        <w:ind w:left="720" w:hanging="720"/>
      </w:pPr>
      <w:r>
        <w:t>Asian Development Bank 2009. “Asian Development Outlook: 2009 Update”, Asian Development Bank, Manila.</w:t>
      </w:r>
    </w:p>
    <w:p w:rsidR="0095166E" w:rsidRDefault="0095166E" w:rsidP="00056ED5">
      <w:pPr>
        <w:spacing w:after="120"/>
        <w:ind w:left="720" w:hanging="720"/>
      </w:pPr>
      <w:proofErr w:type="spellStart"/>
      <w:r w:rsidRPr="0095166E">
        <w:t>Benjamin,D</w:t>
      </w:r>
      <w:proofErr w:type="spellEnd"/>
      <w:r w:rsidRPr="0095166E">
        <w:t xml:space="preserve">., and L. Brandt. 2004. “Agriculture and Income Distribution in Rural Vietnam under Economic Reforms: A Tale of Two Regions.” In P. </w:t>
      </w:r>
      <w:proofErr w:type="spellStart"/>
      <w:r w:rsidRPr="0095166E">
        <w:t>Glewwe</w:t>
      </w:r>
      <w:proofErr w:type="spellEnd"/>
      <w:r w:rsidRPr="0095166E">
        <w:t xml:space="preserve">, N. </w:t>
      </w:r>
      <w:proofErr w:type="spellStart"/>
      <w:r w:rsidRPr="0095166E">
        <w:t>Agarwal</w:t>
      </w:r>
      <w:proofErr w:type="spellEnd"/>
      <w:r w:rsidRPr="0095166E">
        <w:t xml:space="preserve">, and D. Dollar </w:t>
      </w:r>
      <w:r>
        <w:t>(</w:t>
      </w:r>
      <w:r w:rsidRPr="0095166E">
        <w:t>eds.</w:t>
      </w:r>
      <w:r>
        <w:t>)</w:t>
      </w:r>
      <w:r w:rsidRPr="0095166E">
        <w:t xml:space="preserve"> </w:t>
      </w:r>
      <w:r w:rsidRPr="0095166E">
        <w:rPr>
          <w:i/>
        </w:rPr>
        <w:t>Economic Growth, Poverty, and Household Welfare in Vietnam</w:t>
      </w:r>
      <w:r w:rsidRPr="0095166E">
        <w:t xml:space="preserve">. </w:t>
      </w:r>
      <w:r>
        <w:t xml:space="preserve">World Bank, </w:t>
      </w:r>
      <w:r w:rsidRPr="0095166E">
        <w:t>Washington DC.</w:t>
      </w:r>
    </w:p>
    <w:p w:rsidR="00BB2AB8" w:rsidRDefault="00BB2AB8" w:rsidP="00BB2AB8">
      <w:pPr>
        <w:spacing w:after="120"/>
        <w:ind w:left="720" w:hanging="720"/>
      </w:pPr>
      <w:r>
        <w:t xml:space="preserve">De </w:t>
      </w:r>
      <w:proofErr w:type="spellStart"/>
      <w:r>
        <w:t>Brauw</w:t>
      </w:r>
      <w:proofErr w:type="spellEnd"/>
      <w:r>
        <w:t xml:space="preserve">, A. and </w:t>
      </w:r>
      <w:proofErr w:type="spellStart"/>
      <w:r>
        <w:t>Harigaya</w:t>
      </w:r>
      <w:proofErr w:type="spellEnd"/>
      <w:r>
        <w:t xml:space="preserve">, T. 2007. "Seasonal Migration and Improving Living Standards in Vietnam", </w:t>
      </w:r>
      <w:r w:rsidRPr="00BB2AB8">
        <w:rPr>
          <w:i/>
        </w:rPr>
        <w:t>American Journal of Agricultural Economics</w:t>
      </w:r>
      <w:r>
        <w:t xml:space="preserve"> 89(2): pp. 430-447.</w:t>
      </w:r>
    </w:p>
    <w:p w:rsidR="00771076" w:rsidRDefault="00771076" w:rsidP="00056ED5">
      <w:pPr>
        <w:spacing w:after="120"/>
        <w:ind w:left="720" w:hanging="720"/>
      </w:pPr>
      <w:proofErr w:type="spellStart"/>
      <w:r>
        <w:t>Glewwe</w:t>
      </w:r>
      <w:proofErr w:type="spellEnd"/>
      <w:r>
        <w:t xml:space="preserve">, P., M. </w:t>
      </w:r>
      <w:proofErr w:type="spellStart"/>
      <w:r>
        <w:t>Gragnolati</w:t>
      </w:r>
      <w:proofErr w:type="spellEnd"/>
      <w:r>
        <w:t xml:space="preserve"> and H. </w:t>
      </w:r>
      <w:proofErr w:type="spellStart"/>
      <w:r>
        <w:t>Zaman</w:t>
      </w:r>
      <w:proofErr w:type="spellEnd"/>
      <w:r>
        <w:t xml:space="preserve">. 2002. "Who Gained from Vietnam's Boom in the 1990s?", </w:t>
      </w:r>
      <w:r w:rsidRPr="00096C1E">
        <w:rPr>
          <w:i/>
        </w:rPr>
        <w:t>Economic Development and Cultural Change</w:t>
      </w:r>
      <w:r>
        <w:t xml:space="preserve"> </w:t>
      </w:r>
      <w:r w:rsidRPr="00771076">
        <w:t>50:</w:t>
      </w:r>
      <w:r>
        <w:t xml:space="preserve"> pp. </w:t>
      </w:r>
      <w:r w:rsidRPr="00771076">
        <w:t>773</w:t>
      </w:r>
      <w:r>
        <w:t>-</w:t>
      </w:r>
      <w:r w:rsidRPr="00771076">
        <w:t>792</w:t>
      </w:r>
      <w:r>
        <w:t>.</w:t>
      </w:r>
    </w:p>
    <w:p w:rsidR="001D10A7" w:rsidRDefault="001D10A7" w:rsidP="001D10A7">
      <w:pPr>
        <w:spacing w:after="120"/>
        <w:ind w:left="720" w:hanging="720"/>
      </w:pPr>
      <w:r>
        <w:t>Fan, S., P.L. Huong and T.Q. Long. 2004. "Government Spending and Poverty Reduction in Vietnam", report prepared for the World Bank by the International Food Policy Research Institute, Washington DC, and Central Institute of Economic Management, Hanoi.</w:t>
      </w:r>
    </w:p>
    <w:p w:rsidR="003A1857" w:rsidRDefault="003A1857" w:rsidP="00056ED5">
      <w:pPr>
        <w:spacing w:after="120"/>
        <w:ind w:left="720" w:hanging="720"/>
      </w:pPr>
      <w:r>
        <w:t xml:space="preserve">GSO. 2007. </w:t>
      </w:r>
      <w:r w:rsidRPr="003A1857">
        <w:rPr>
          <w:i/>
        </w:rPr>
        <w:t>Results of the Survey of Household Living Standards 2006</w:t>
      </w:r>
      <w:r>
        <w:t xml:space="preserve">, General Statistical Office, Hanoi. </w:t>
      </w:r>
    </w:p>
    <w:p w:rsidR="008E61B9" w:rsidRDefault="008E61B9" w:rsidP="008E61B9">
      <w:pPr>
        <w:spacing w:after="120"/>
        <w:ind w:left="720" w:hanging="720"/>
      </w:pPr>
      <w:r>
        <w:t xml:space="preserve">GSO. 2009a. </w:t>
      </w:r>
      <w:r>
        <w:rPr>
          <w:i/>
        </w:rPr>
        <w:t>Statistical Yearbook of Vietnam 2008</w:t>
      </w:r>
      <w:r>
        <w:t xml:space="preserve">, General Statistical Office, Hanoi. </w:t>
      </w:r>
    </w:p>
    <w:p w:rsidR="006B6785" w:rsidRDefault="006B6785" w:rsidP="006B6785">
      <w:pPr>
        <w:spacing w:after="120"/>
        <w:ind w:left="720" w:hanging="720"/>
      </w:pPr>
      <w:r>
        <w:t>GSO. 2009</w:t>
      </w:r>
      <w:r w:rsidR="008E61B9">
        <w:t>b</w:t>
      </w:r>
      <w:r>
        <w:t xml:space="preserve">. </w:t>
      </w:r>
      <w:r>
        <w:rPr>
          <w:i/>
        </w:rPr>
        <w:t>Monthly Statistical Information</w:t>
      </w:r>
      <w:r>
        <w:t xml:space="preserve">, General Statistical Office, Hanoi. Available at www.gso.gov.vn (last accessed 31 October 2009). </w:t>
      </w:r>
    </w:p>
    <w:p w:rsidR="0037472F" w:rsidRDefault="0037472F" w:rsidP="0037472F">
      <w:pPr>
        <w:spacing w:after="120"/>
        <w:ind w:left="720" w:hanging="720"/>
      </w:pPr>
      <w:proofErr w:type="spellStart"/>
      <w:r>
        <w:t>Ivanic</w:t>
      </w:r>
      <w:proofErr w:type="spellEnd"/>
      <w:r>
        <w:t>, M. and W. Martin. 2008. “Implications of Higher Global Food Prices for Poverty in Low-Income Countries”, Policy Research Working Paper 4594, World Bank, Washington D.C.</w:t>
      </w:r>
    </w:p>
    <w:p w:rsidR="00CA1229" w:rsidRDefault="00CA1229" w:rsidP="00056ED5">
      <w:pPr>
        <w:spacing w:after="120"/>
        <w:ind w:left="720" w:hanging="720"/>
      </w:pPr>
      <w:proofErr w:type="spellStart"/>
      <w:r>
        <w:t>Rapsomanikis</w:t>
      </w:r>
      <w:proofErr w:type="spellEnd"/>
      <w:r>
        <w:t xml:space="preserve">, G. and A. Sarris. 2007. “The Impact of Domestic and International </w:t>
      </w:r>
      <w:r w:rsidR="004C23F9">
        <w:t>Commodity</w:t>
      </w:r>
      <w:r>
        <w:t xml:space="preserve"> Price Volatility on Agricultural Income Instability in Ghana, Vietnam and Peru” in </w:t>
      </w:r>
      <w:proofErr w:type="spellStart"/>
      <w:r w:rsidRPr="00CA1229">
        <w:t>Guha</w:t>
      </w:r>
      <w:proofErr w:type="spellEnd"/>
      <w:r w:rsidRPr="00CA1229">
        <w:t>-</w:t>
      </w:r>
      <w:proofErr w:type="spellStart"/>
      <w:r w:rsidRPr="00CA1229">
        <w:t>Khasnobis</w:t>
      </w:r>
      <w:proofErr w:type="spellEnd"/>
      <w:r w:rsidRPr="00CA1229">
        <w:t xml:space="preserve">, </w:t>
      </w:r>
      <w:r>
        <w:t xml:space="preserve">B., </w:t>
      </w:r>
      <w:r w:rsidR="00DA3C1D" w:rsidRPr="00CA1229">
        <w:t>S.A</w:t>
      </w:r>
      <w:r w:rsidR="00DA3C1D">
        <w:t xml:space="preserve">. </w:t>
      </w:r>
      <w:proofErr w:type="spellStart"/>
      <w:r w:rsidRPr="00CA1229">
        <w:t>S</w:t>
      </w:r>
      <w:r>
        <w:t>habd</w:t>
      </w:r>
      <w:proofErr w:type="spellEnd"/>
      <w:r>
        <w:t xml:space="preserve"> and </w:t>
      </w:r>
      <w:r w:rsidRPr="00CA1229">
        <w:t>B</w:t>
      </w:r>
      <w:r>
        <w:t>.</w:t>
      </w:r>
      <w:r w:rsidRPr="00CA1229">
        <w:t xml:space="preserve"> Davis</w:t>
      </w:r>
      <w:r w:rsidR="00DA3C1D">
        <w:t xml:space="preserve"> (</w:t>
      </w:r>
      <w:proofErr w:type="spellStart"/>
      <w:r w:rsidR="00DA3C1D">
        <w:t>eds</w:t>
      </w:r>
      <w:proofErr w:type="spellEnd"/>
      <w:r w:rsidR="00DA3C1D">
        <w:t xml:space="preserve">). 2007. </w:t>
      </w:r>
      <w:r w:rsidR="00DA3C1D" w:rsidRPr="00DA3C1D">
        <w:rPr>
          <w:i/>
        </w:rPr>
        <w:t>Food Security: Indicators, Measurement and the Impact of Trade Openness</w:t>
      </w:r>
      <w:r w:rsidR="00DA3C1D">
        <w:t>, Oxford University Press: UK.</w:t>
      </w:r>
    </w:p>
    <w:p w:rsidR="00962D47" w:rsidRDefault="00962D47" w:rsidP="00962D47">
      <w:pPr>
        <w:spacing w:after="120"/>
        <w:ind w:left="720" w:hanging="720"/>
      </w:pPr>
      <w:r>
        <w:t xml:space="preserve">Van, L.T.T. 2009. "Vietnam's Policy Responses to the Financial Crisis", Background Brief 447, East Asian Institute, National University of Singapore, Singapore. </w:t>
      </w:r>
    </w:p>
    <w:p w:rsidR="0037472F" w:rsidRDefault="0037472F" w:rsidP="00056ED5">
      <w:pPr>
        <w:spacing w:after="120"/>
        <w:ind w:left="720" w:hanging="720"/>
      </w:pPr>
      <w:r>
        <w:lastRenderedPageBreak/>
        <w:t>World Bank. 2009</w:t>
      </w:r>
      <w:r w:rsidR="00204936">
        <w:t>a</w:t>
      </w:r>
      <w:r>
        <w:t xml:space="preserve">. </w:t>
      </w:r>
      <w:r w:rsidRPr="0037472F">
        <w:rPr>
          <w:i/>
        </w:rPr>
        <w:t>World Development Indicators</w:t>
      </w:r>
      <w:r>
        <w:t xml:space="preserve">, World Bank, Washington D.C. </w:t>
      </w:r>
    </w:p>
    <w:p w:rsidR="00204936" w:rsidRDefault="00204936" w:rsidP="00204936">
      <w:pPr>
        <w:spacing w:after="120"/>
        <w:ind w:left="720" w:hanging="720"/>
      </w:pPr>
      <w:r>
        <w:t xml:space="preserve">World Bank. 2009b. </w:t>
      </w:r>
      <w:r>
        <w:rPr>
          <w:i/>
        </w:rPr>
        <w:t>Commodity Price Data (Pink Sheets)</w:t>
      </w:r>
      <w:r w:rsidR="00391256">
        <w:rPr>
          <w:i/>
        </w:rPr>
        <w:t>: October 2009</w:t>
      </w:r>
      <w:r>
        <w:t xml:space="preserve">, World Bank, Washington D.C. </w:t>
      </w:r>
    </w:p>
    <w:p w:rsidR="000413FF" w:rsidRDefault="000413FF" w:rsidP="000413FF">
      <w:pPr>
        <w:spacing w:after="120"/>
        <w:ind w:left="720" w:hanging="720"/>
      </w:pPr>
      <w:r>
        <w:t>World Bank. 2009c.</w:t>
      </w:r>
      <w:r w:rsidR="0094084C">
        <w:t xml:space="preserve"> "</w:t>
      </w:r>
      <w:r w:rsidR="0094084C" w:rsidRPr="0094084C">
        <w:t xml:space="preserve"> </w:t>
      </w:r>
      <w:r w:rsidR="00C94B6B" w:rsidRPr="00C94B6B">
        <w:t>Outlook for Remittance Flows 2009-2011: Remittances expected to fall by 7-10 percent in 2009</w:t>
      </w:r>
      <w:r w:rsidR="0094084C">
        <w:t xml:space="preserve">", </w:t>
      </w:r>
      <w:r w:rsidR="0094084C" w:rsidRPr="0094084C">
        <w:t>Migration and Development Brief</w:t>
      </w:r>
      <w:r w:rsidR="0094084C">
        <w:t xml:space="preserve"> 10</w:t>
      </w:r>
      <w:r>
        <w:t>, World Bank, Washington D.C.</w:t>
      </w:r>
    </w:p>
    <w:p w:rsidR="009B5E65" w:rsidRDefault="009B5E65">
      <w:r>
        <w:br w:type="page"/>
      </w:r>
    </w:p>
    <w:p w:rsidR="009B5E65" w:rsidRPr="00D47424" w:rsidRDefault="009B5E65" w:rsidP="009B5E65">
      <w:pPr>
        <w:spacing w:after="0" w:line="240" w:lineRule="auto"/>
      </w:pPr>
      <w:r w:rsidRPr="00D47424">
        <w:lastRenderedPageBreak/>
        <w:t xml:space="preserve">Table 1: </w:t>
      </w:r>
      <w:r>
        <w:t>S</w:t>
      </w:r>
      <w:r w:rsidRPr="00D47424">
        <w:t xml:space="preserve">tructure of </w:t>
      </w:r>
      <w:r>
        <w:t xml:space="preserve">the </w:t>
      </w:r>
      <w:r w:rsidRPr="00D47424">
        <w:t>Vietnam</w:t>
      </w:r>
      <w:r>
        <w:t>ese economy</w:t>
      </w:r>
      <w:r w:rsidRPr="00D47424">
        <w:t>, 2007</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tblPr>
      <w:tblGrid>
        <w:gridCol w:w="2088"/>
        <w:gridCol w:w="930"/>
        <w:gridCol w:w="930"/>
        <w:gridCol w:w="930"/>
        <w:gridCol w:w="930"/>
        <w:gridCol w:w="930"/>
        <w:gridCol w:w="930"/>
      </w:tblGrid>
      <w:tr w:rsidR="009B5E65" w:rsidRPr="005E351D" w:rsidTr="00086A1F">
        <w:tc>
          <w:tcPr>
            <w:tcW w:w="2088" w:type="dxa"/>
            <w:tcBorders>
              <w:top w:val="single" w:sz="4" w:space="0" w:color="000000" w:themeColor="text1"/>
              <w:bottom w:val="nil"/>
            </w:tcBorders>
          </w:tcPr>
          <w:p w:rsidR="009B5E65" w:rsidRPr="005E351D" w:rsidRDefault="009B5E65" w:rsidP="00086A1F">
            <w:pPr>
              <w:jc w:val="center"/>
              <w:rPr>
                <w:sz w:val="20"/>
                <w:szCs w:val="20"/>
              </w:rPr>
            </w:pPr>
          </w:p>
        </w:tc>
        <w:tc>
          <w:tcPr>
            <w:tcW w:w="3720" w:type="dxa"/>
            <w:gridSpan w:val="4"/>
            <w:tcBorders>
              <w:top w:val="single" w:sz="4" w:space="0" w:color="000000" w:themeColor="text1"/>
              <w:bottom w:val="single" w:sz="4" w:space="0" w:color="000000" w:themeColor="text1"/>
            </w:tcBorders>
          </w:tcPr>
          <w:p w:rsidR="009B5E65" w:rsidRPr="005E351D" w:rsidRDefault="009B5E65" w:rsidP="00086A1F">
            <w:pPr>
              <w:jc w:val="center"/>
              <w:rPr>
                <w:sz w:val="20"/>
                <w:szCs w:val="20"/>
              </w:rPr>
            </w:pPr>
            <w:r>
              <w:rPr>
                <w:sz w:val="20"/>
                <w:szCs w:val="20"/>
              </w:rPr>
              <w:t>Share of total (%)</w:t>
            </w:r>
          </w:p>
        </w:tc>
        <w:tc>
          <w:tcPr>
            <w:tcW w:w="930" w:type="dxa"/>
            <w:vMerge w:val="restart"/>
            <w:tcBorders>
              <w:top w:val="single" w:sz="4" w:space="0" w:color="000000" w:themeColor="text1"/>
            </w:tcBorders>
          </w:tcPr>
          <w:p w:rsidR="009B5E65" w:rsidRPr="005E351D" w:rsidRDefault="009B5E65" w:rsidP="00086A1F">
            <w:pPr>
              <w:jc w:val="center"/>
              <w:rPr>
                <w:sz w:val="20"/>
                <w:szCs w:val="20"/>
              </w:rPr>
            </w:pPr>
            <w:r>
              <w:rPr>
                <w:sz w:val="20"/>
                <w:szCs w:val="20"/>
              </w:rPr>
              <w:t>Export intensity</w:t>
            </w:r>
          </w:p>
        </w:tc>
        <w:tc>
          <w:tcPr>
            <w:tcW w:w="930" w:type="dxa"/>
            <w:vMerge w:val="restart"/>
            <w:tcBorders>
              <w:top w:val="single" w:sz="4" w:space="0" w:color="000000" w:themeColor="text1"/>
            </w:tcBorders>
          </w:tcPr>
          <w:p w:rsidR="009B5E65" w:rsidRPr="005E351D" w:rsidRDefault="009B5E65" w:rsidP="00086A1F">
            <w:pPr>
              <w:jc w:val="center"/>
              <w:rPr>
                <w:sz w:val="20"/>
                <w:szCs w:val="20"/>
              </w:rPr>
            </w:pPr>
            <w:r>
              <w:rPr>
                <w:sz w:val="20"/>
                <w:szCs w:val="20"/>
              </w:rPr>
              <w:t>Import intensity</w:t>
            </w:r>
          </w:p>
        </w:tc>
      </w:tr>
      <w:tr w:rsidR="009B5E65" w:rsidRPr="005E351D" w:rsidTr="00086A1F">
        <w:tc>
          <w:tcPr>
            <w:tcW w:w="2088" w:type="dxa"/>
            <w:tcBorders>
              <w:top w:val="nil"/>
              <w:bottom w:val="single" w:sz="4" w:space="0" w:color="000000" w:themeColor="text1"/>
            </w:tcBorders>
          </w:tcPr>
          <w:p w:rsidR="009B5E65" w:rsidRPr="005E351D" w:rsidRDefault="009B5E65" w:rsidP="00086A1F">
            <w:pPr>
              <w:rPr>
                <w:sz w:val="20"/>
                <w:szCs w:val="20"/>
              </w:rPr>
            </w:pPr>
          </w:p>
        </w:tc>
        <w:tc>
          <w:tcPr>
            <w:tcW w:w="930" w:type="dxa"/>
            <w:tcBorders>
              <w:top w:val="single" w:sz="4" w:space="0" w:color="000000" w:themeColor="text1"/>
              <w:bottom w:val="single" w:sz="4" w:space="0" w:color="000000" w:themeColor="text1"/>
            </w:tcBorders>
          </w:tcPr>
          <w:p w:rsidR="009B5E65" w:rsidRPr="005E351D" w:rsidRDefault="009B5E65" w:rsidP="00086A1F">
            <w:pPr>
              <w:jc w:val="center"/>
              <w:rPr>
                <w:sz w:val="20"/>
                <w:szCs w:val="20"/>
              </w:rPr>
            </w:pPr>
            <w:r>
              <w:rPr>
                <w:sz w:val="20"/>
                <w:szCs w:val="20"/>
              </w:rPr>
              <w:t>GDP</w:t>
            </w:r>
          </w:p>
        </w:tc>
        <w:tc>
          <w:tcPr>
            <w:tcW w:w="930" w:type="dxa"/>
            <w:tcBorders>
              <w:top w:val="single" w:sz="4" w:space="0" w:color="000000" w:themeColor="text1"/>
              <w:bottom w:val="single" w:sz="4" w:space="0" w:color="000000" w:themeColor="text1"/>
            </w:tcBorders>
          </w:tcPr>
          <w:p w:rsidR="009B5E65" w:rsidRPr="005E351D" w:rsidRDefault="009B5E65" w:rsidP="00086A1F">
            <w:pPr>
              <w:jc w:val="center"/>
              <w:rPr>
                <w:sz w:val="20"/>
                <w:szCs w:val="20"/>
              </w:rPr>
            </w:pPr>
            <w:r>
              <w:rPr>
                <w:sz w:val="20"/>
                <w:szCs w:val="20"/>
              </w:rPr>
              <w:t>Employ-</w:t>
            </w:r>
            <w:proofErr w:type="spellStart"/>
            <w:r>
              <w:rPr>
                <w:sz w:val="20"/>
                <w:szCs w:val="20"/>
              </w:rPr>
              <w:t>ment</w:t>
            </w:r>
            <w:proofErr w:type="spellEnd"/>
          </w:p>
        </w:tc>
        <w:tc>
          <w:tcPr>
            <w:tcW w:w="930" w:type="dxa"/>
            <w:tcBorders>
              <w:top w:val="single" w:sz="4" w:space="0" w:color="000000" w:themeColor="text1"/>
              <w:bottom w:val="single" w:sz="4" w:space="0" w:color="000000" w:themeColor="text1"/>
            </w:tcBorders>
          </w:tcPr>
          <w:p w:rsidR="009B5E65" w:rsidRPr="005E351D" w:rsidRDefault="009B5E65" w:rsidP="00086A1F">
            <w:pPr>
              <w:jc w:val="center"/>
              <w:rPr>
                <w:sz w:val="20"/>
                <w:szCs w:val="20"/>
              </w:rPr>
            </w:pPr>
            <w:r>
              <w:rPr>
                <w:sz w:val="20"/>
                <w:szCs w:val="20"/>
              </w:rPr>
              <w:t>Exports</w:t>
            </w:r>
          </w:p>
        </w:tc>
        <w:tc>
          <w:tcPr>
            <w:tcW w:w="930" w:type="dxa"/>
            <w:tcBorders>
              <w:top w:val="single" w:sz="4" w:space="0" w:color="000000" w:themeColor="text1"/>
              <w:bottom w:val="single" w:sz="4" w:space="0" w:color="000000" w:themeColor="text1"/>
            </w:tcBorders>
          </w:tcPr>
          <w:p w:rsidR="009B5E65" w:rsidRPr="005E351D" w:rsidRDefault="009B5E65" w:rsidP="00086A1F">
            <w:pPr>
              <w:jc w:val="center"/>
              <w:rPr>
                <w:sz w:val="20"/>
                <w:szCs w:val="20"/>
              </w:rPr>
            </w:pPr>
            <w:r>
              <w:rPr>
                <w:sz w:val="20"/>
                <w:szCs w:val="20"/>
              </w:rPr>
              <w:t>Imports</w:t>
            </w:r>
          </w:p>
        </w:tc>
        <w:tc>
          <w:tcPr>
            <w:tcW w:w="930" w:type="dxa"/>
            <w:vMerge/>
            <w:tcBorders>
              <w:bottom w:val="single" w:sz="4" w:space="0" w:color="000000" w:themeColor="text1"/>
            </w:tcBorders>
          </w:tcPr>
          <w:p w:rsidR="009B5E65" w:rsidRPr="005E351D" w:rsidRDefault="009B5E65" w:rsidP="00086A1F">
            <w:pPr>
              <w:rPr>
                <w:sz w:val="20"/>
                <w:szCs w:val="20"/>
              </w:rPr>
            </w:pPr>
          </w:p>
        </w:tc>
        <w:tc>
          <w:tcPr>
            <w:tcW w:w="930" w:type="dxa"/>
            <w:vMerge/>
            <w:tcBorders>
              <w:bottom w:val="single" w:sz="4" w:space="0" w:color="000000" w:themeColor="text1"/>
            </w:tcBorders>
          </w:tcPr>
          <w:p w:rsidR="009B5E65" w:rsidRPr="005E351D" w:rsidRDefault="009B5E65" w:rsidP="00086A1F">
            <w:pPr>
              <w:rPr>
                <w:sz w:val="20"/>
                <w:szCs w:val="20"/>
              </w:rPr>
            </w:pPr>
          </w:p>
        </w:tc>
      </w:tr>
      <w:tr w:rsidR="009B5E65" w:rsidRPr="005E351D" w:rsidTr="00086A1F">
        <w:trPr>
          <w:trHeight w:hRule="exact" w:val="115"/>
        </w:trPr>
        <w:tc>
          <w:tcPr>
            <w:tcW w:w="2088" w:type="dxa"/>
            <w:tcBorders>
              <w:top w:val="single" w:sz="4" w:space="0" w:color="000000" w:themeColor="text1"/>
            </w:tcBorders>
          </w:tcPr>
          <w:p w:rsidR="009B5E65" w:rsidRPr="005E351D" w:rsidRDefault="009B5E65" w:rsidP="00086A1F">
            <w:pPr>
              <w:rPr>
                <w:sz w:val="20"/>
                <w:szCs w:val="20"/>
              </w:rPr>
            </w:pPr>
          </w:p>
        </w:tc>
        <w:tc>
          <w:tcPr>
            <w:tcW w:w="930" w:type="dxa"/>
            <w:tcBorders>
              <w:top w:val="single" w:sz="4" w:space="0" w:color="000000" w:themeColor="text1"/>
            </w:tcBorders>
          </w:tcPr>
          <w:p w:rsidR="009B5E65" w:rsidRPr="005E351D" w:rsidRDefault="009B5E65" w:rsidP="00086A1F">
            <w:pPr>
              <w:rPr>
                <w:sz w:val="20"/>
                <w:szCs w:val="20"/>
              </w:rPr>
            </w:pPr>
          </w:p>
        </w:tc>
        <w:tc>
          <w:tcPr>
            <w:tcW w:w="930" w:type="dxa"/>
            <w:tcBorders>
              <w:top w:val="single" w:sz="4" w:space="0" w:color="000000" w:themeColor="text1"/>
            </w:tcBorders>
          </w:tcPr>
          <w:p w:rsidR="009B5E65" w:rsidRPr="005E351D" w:rsidRDefault="009B5E65" w:rsidP="00086A1F">
            <w:pPr>
              <w:rPr>
                <w:sz w:val="20"/>
                <w:szCs w:val="20"/>
              </w:rPr>
            </w:pPr>
          </w:p>
        </w:tc>
        <w:tc>
          <w:tcPr>
            <w:tcW w:w="930" w:type="dxa"/>
            <w:tcBorders>
              <w:top w:val="single" w:sz="4" w:space="0" w:color="000000" w:themeColor="text1"/>
            </w:tcBorders>
          </w:tcPr>
          <w:p w:rsidR="009B5E65" w:rsidRPr="005E351D" w:rsidRDefault="009B5E65" w:rsidP="00086A1F">
            <w:pPr>
              <w:rPr>
                <w:sz w:val="20"/>
                <w:szCs w:val="20"/>
              </w:rPr>
            </w:pPr>
          </w:p>
        </w:tc>
        <w:tc>
          <w:tcPr>
            <w:tcW w:w="930" w:type="dxa"/>
            <w:tcBorders>
              <w:top w:val="single" w:sz="4" w:space="0" w:color="000000" w:themeColor="text1"/>
            </w:tcBorders>
          </w:tcPr>
          <w:p w:rsidR="009B5E65" w:rsidRPr="005E351D" w:rsidRDefault="009B5E65" w:rsidP="00086A1F">
            <w:pPr>
              <w:rPr>
                <w:sz w:val="20"/>
                <w:szCs w:val="20"/>
              </w:rPr>
            </w:pPr>
          </w:p>
        </w:tc>
        <w:tc>
          <w:tcPr>
            <w:tcW w:w="930" w:type="dxa"/>
            <w:tcBorders>
              <w:top w:val="single" w:sz="4" w:space="0" w:color="000000" w:themeColor="text1"/>
            </w:tcBorders>
          </w:tcPr>
          <w:p w:rsidR="009B5E65" w:rsidRPr="005E351D" w:rsidRDefault="009B5E65" w:rsidP="00086A1F">
            <w:pPr>
              <w:rPr>
                <w:sz w:val="20"/>
                <w:szCs w:val="20"/>
              </w:rPr>
            </w:pPr>
          </w:p>
        </w:tc>
        <w:tc>
          <w:tcPr>
            <w:tcW w:w="930" w:type="dxa"/>
            <w:tcBorders>
              <w:top w:val="single" w:sz="4" w:space="0" w:color="000000" w:themeColor="text1"/>
            </w:tcBorders>
          </w:tcPr>
          <w:p w:rsidR="009B5E65" w:rsidRPr="005E351D" w:rsidRDefault="009B5E65" w:rsidP="00086A1F">
            <w:pPr>
              <w:rPr>
                <w:sz w:val="20"/>
                <w:szCs w:val="20"/>
              </w:rPr>
            </w:pPr>
          </w:p>
        </w:tc>
      </w:tr>
      <w:tr w:rsidR="009B5E65" w:rsidRPr="005E351D" w:rsidTr="00086A1F">
        <w:tc>
          <w:tcPr>
            <w:tcW w:w="2088" w:type="dxa"/>
          </w:tcPr>
          <w:p w:rsidR="009B5E65" w:rsidRDefault="009B5E65" w:rsidP="00086A1F">
            <w:pPr>
              <w:autoSpaceDE w:val="0"/>
              <w:autoSpaceDN w:val="0"/>
              <w:adjustRightInd w:val="0"/>
              <w:rPr>
                <w:rFonts w:ascii="Calibri" w:hAnsi="Calibri" w:cs="Calibri"/>
                <w:color w:val="000000"/>
                <w:sz w:val="20"/>
                <w:szCs w:val="20"/>
              </w:rPr>
            </w:pPr>
            <w:r>
              <w:rPr>
                <w:rFonts w:ascii="Calibri" w:hAnsi="Calibri" w:cs="Calibri"/>
                <w:color w:val="000000"/>
                <w:sz w:val="20"/>
                <w:szCs w:val="20"/>
              </w:rPr>
              <w:t>Total GDP</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100.0</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100.0</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100.0</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100.0</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32.4</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39.1</w:t>
            </w:r>
          </w:p>
        </w:tc>
      </w:tr>
      <w:tr w:rsidR="009B5E65" w:rsidRPr="005E351D" w:rsidTr="00086A1F">
        <w:trPr>
          <w:trHeight w:hRule="exact" w:val="115"/>
        </w:trPr>
        <w:tc>
          <w:tcPr>
            <w:tcW w:w="2088" w:type="dxa"/>
          </w:tcPr>
          <w:p w:rsidR="009B5E65" w:rsidRDefault="009B5E65" w:rsidP="00086A1F">
            <w:pPr>
              <w:autoSpaceDE w:val="0"/>
              <w:autoSpaceDN w:val="0"/>
              <w:adjustRightInd w:val="0"/>
              <w:rPr>
                <w:rFonts w:ascii="Calibri" w:hAnsi="Calibri" w:cs="Calibri"/>
                <w:color w:val="000000"/>
                <w:sz w:val="20"/>
                <w:szCs w:val="20"/>
              </w:rPr>
            </w:pP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p>
        </w:tc>
      </w:tr>
      <w:tr w:rsidR="009B5E65" w:rsidRPr="005E351D" w:rsidTr="00086A1F">
        <w:tc>
          <w:tcPr>
            <w:tcW w:w="2088" w:type="dxa"/>
          </w:tcPr>
          <w:p w:rsidR="009B5E65" w:rsidRDefault="009B5E65" w:rsidP="00086A1F">
            <w:pPr>
              <w:autoSpaceDE w:val="0"/>
              <w:autoSpaceDN w:val="0"/>
              <w:adjustRightInd w:val="0"/>
              <w:rPr>
                <w:rFonts w:ascii="Calibri" w:hAnsi="Calibri" w:cs="Calibri"/>
                <w:color w:val="000000"/>
                <w:sz w:val="20"/>
                <w:szCs w:val="20"/>
              </w:rPr>
            </w:pPr>
            <w:r>
              <w:rPr>
                <w:rFonts w:ascii="Calibri" w:hAnsi="Calibri" w:cs="Calibri"/>
                <w:color w:val="000000"/>
                <w:sz w:val="20"/>
                <w:szCs w:val="20"/>
              </w:rPr>
              <w:t>Agriculture</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22.1</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53.9</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7.6</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2.0</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21.3</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8.4</w:t>
            </w:r>
          </w:p>
        </w:tc>
      </w:tr>
      <w:tr w:rsidR="009B5E65" w:rsidRPr="005E351D" w:rsidTr="00086A1F">
        <w:tc>
          <w:tcPr>
            <w:tcW w:w="2088" w:type="dxa"/>
          </w:tcPr>
          <w:p w:rsidR="009B5E65" w:rsidRDefault="009B5E65" w:rsidP="00086A1F">
            <w:pPr>
              <w:autoSpaceDE w:val="0"/>
              <w:autoSpaceDN w:val="0"/>
              <w:adjustRightInd w:val="0"/>
              <w:rPr>
                <w:rFonts w:ascii="Calibri" w:hAnsi="Calibri" w:cs="Calibri"/>
                <w:color w:val="000000"/>
                <w:sz w:val="20"/>
                <w:szCs w:val="20"/>
              </w:rPr>
            </w:pPr>
            <w:r>
              <w:rPr>
                <w:rFonts w:ascii="Calibri" w:hAnsi="Calibri" w:cs="Calibri"/>
                <w:color w:val="000000"/>
                <w:sz w:val="20"/>
                <w:szCs w:val="20"/>
              </w:rPr>
              <w:t xml:space="preserve">   Crops</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13.4</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36.6</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4.6</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1.4</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23.3</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10.3</w:t>
            </w:r>
          </w:p>
        </w:tc>
      </w:tr>
      <w:tr w:rsidR="009B5E65" w:rsidRPr="005E351D" w:rsidTr="00086A1F">
        <w:tc>
          <w:tcPr>
            <w:tcW w:w="2088" w:type="dxa"/>
          </w:tcPr>
          <w:p w:rsidR="009B5E65" w:rsidRDefault="009B5E65" w:rsidP="00086A1F">
            <w:pPr>
              <w:autoSpaceDE w:val="0"/>
              <w:autoSpaceDN w:val="0"/>
              <w:adjustRightInd w:val="0"/>
              <w:rPr>
                <w:rFonts w:ascii="Calibri" w:hAnsi="Calibri" w:cs="Calibri"/>
                <w:color w:val="000000"/>
                <w:sz w:val="20"/>
                <w:szCs w:val="20"/>
              </w:rPr>
            </w:pPr>
            <w:r>
              <w:rPr>
                <w:rFonts w:ascii="Calibri" w:hAnsi="Calibri" w:cs="Calibri"/>
                <w:color w:val="000000"/>
                <w:sz w:val="20"/>
                <w:szCs w:val="20"/>
              </w:rPr>
              <w:t xml:space="preserve">   Livestock</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2.7</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8.5</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0.4</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0.0</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7.4</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1.6</w:t>
            </w:r>
          </w:p>
        </w:tc>
      </w:tr>
      <w:tr w:rsidR="009B5E65" w:rsidRPr="005E351D" w:rsidTr="00086A1F">
        <w:tc>
          <w:tcPr>
            <w:tcW w:w="2088" w:type="dxa"/>
          </w:tcPr>
          <w:p w:rsidR="009B5E65" w:rsidRDefault="009B5E65" w:rsidP="00086A1F">
            <w:pPr>
              <w:autoSpaceDE w:val="0"/>
              <w:autoSpaceDN w:val="0"/>
              <w:adjustRightInd w:val="0"/>
              <w:rPr>
                <w:rFonts w:ascii="Calibri" w:hAnsi="Calibri" w:cs="Calibri"/>
                <w:color w:val="000000"/>
                <w:sz w:val="20"/>
                <w:szCs w:val="20"/>
              </w:rPr>
            </w:pPr>
            <w:r>
              <w:rPr>
                <w:rFonts w:ascii="Calibri" w:hAnsi="Calibri" w:cs="Calibri"/>
                <w:color w:val="000000"/>
                <w:sz w:val="20"/>
                <w:szCs w:val="20"/>
              </w:rPr>
              <w:t xml:space="preserve">   Forestry/fishing</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5.9</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8.8</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2.6</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0.6</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23.4</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8.2</w:t>
            </w:r>
          </w:p>
        </w:tc>
      </w:tr>
      <w:tr w:rsidR="009B5E65" w:rsidRPr="005E351D" w:rsidTr="00086A1F">
        <w:trPr>
          <w:trHeight w:hRule="exact" w:val="115"/>
        </w:trPr>
        <w:tc>
          <w:tcPr>
            <w:tcW w:w="2088" w:type="dxa"/>
          </w:tcPr>
          <w:p w:rsidR="009B5E65" w:rsidRDefault="009B5E65" w:rsidP="00086A1F">
            <w:pPr>
              <w:autoSpaceDE w:val="0"/>
              <w:autoSpaceDN w:val="0"/>
              <w:adjustRightInd w:val="0"/>
              <w:rPr>
                <w:rFonts w:ascii="Calibri" w:hAnsi="Calibri" w:cs="Calibri"/>
                <w:color w:val="000000"/>
                <w:sz w:val="20"/>
                <w:szCs w:val="20"/>
              </w:rPr>
            </w:pP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p>
        </w:tc>
      </w:tr>
      <w:tr w:rsidR="009B5E65" w:rsidRPr="005E351D" w:rsidTr="00086A1F">
        <w:tc>
          <w:tcPr>
            <w:tcW w:w="2088" w:type="dxa"/>
          </w:tcPr>
          <w:p w:rsidR="009B5E65" w:rsidRDefault="009B5E65" w:rsidP="00086A1F">
            <w:pPr>
              <w:autoSpaceDE w:val="0"/>
              <w:autoSpaceDN w:val="0"/>
              <w:adjustRightInd w:val="0"/>
              <w:rPr>
                <w:rFonts w:ascii="Calibri" w:hAnsi="Calibri" w:cs="Calibri"/>
                <w:color w:val="000000"/>
                <w:sz w:val="20"/>
                <w:szCs w:val="20"/>
              </w:rPr>
            </w:pPr>
            <w:r>
              <w:rPr>
                <w:rFonts w:ascii="Calibri" w:hAnsi="Calibri" w:cs="Calibri"/>
                <w:color w:val="000000"/>
                <w:sz w:val="20"/>
                <w:szCs w:val="20"/>
              </w:rPr>
              <w:t>Industry</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41.7</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19.9</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76.1</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85.4</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38.5</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48.7</w:t>
            </w:r>
          </w:p>
        </w:tc>
      </w:tr>
      <w:tr w:rsidR="009B5E65" w:rsidRPr="005E351D" w:rsidTr="00086A1F">
        <w:tc>
          <w:tcPr>
            <w:tcW w:w="2088" w:type="dxa"/>
          </w:tcPr>
          <w:p w:rsidR="009B5E65" w:rsidRDefault="009B5E65" w:rsidP="00086A1F">
            <w:pPr>
              <w:autoSpaceDE w:val="0"/>
              <w:autoSpaceDN w:val="0"/>
              <w:adjustRightInd w:val="0"/>
              <w:rPr>
                <w:rFonts w:ascii="Calibri" w:hAnsi="Calibri" w:cs="Calibri"/>
                <w:color w:val="000000"/>
                <w:sz w:val="20"/>
                <w:szCs w:val="20"/>
              </w:rPr>
            </w:pPr>
            <w:r>
              <w:rPr>
                <w:rFonts w:ascii="Calibri" w:hAnsi="Calibri" w:cs="Calibri"/>
                <w:color w:val="000000"/>
                <w:sz w:val="20"/>
                <w:szCs w:val="20"/>
              </w:rPr>
              <w:t xml:space="preserve">   Mining</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10.9</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0.9</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19.0</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0.6</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82.9</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14.9</w:t>
            </w:r>
          </w:p>
        </w:tc>
      </w:tr>
      <w:tr w:rsidR="009B5E65" w:rsidRPr="005E351D" w:rsidTr="00086A1F">
        <w:tc>
          <w:tcPr>
            <w:tcW w:w="2088" w:type="dxa"/>
          </w:tcPr>
          <w:p w:rsidR="009B5E65" w:rsidRDefault="009B5E65" w:rsidP="00086A1F">
            <w:pPr>
              <w:autoSpaceDE w:val="0"/>
              <w:autoSpaceDN w:val="0"/>
              <w:adjustRightInd w:val="0"/>
              <w:rPr>
                <w:rFonts w:ascii="Calibri" w:hAnsi="Calibri" w:cs="Calibri"/>
                <w:color w:val="000000"/>
                <w:sz w:val="20"/>
                <w:szCs w:val="20"/>
              </w:rPr>
            </w:pPr>
            <w:r>
              <w:rPr>
                <w:rFonts w:ascii="Calibri" w:hAnsi="Calibri" w:cs="Calibri"/>
                <w:color w:val="000000"/>
                <w:sz w:val="20"/>
                <w:szCs w:val="20"/>
              </w:rPr>
              <w:t xml:space="preserve">   Manufacturing</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20.1</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13.3</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57.1</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84.9</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40.7</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57.8</w:t>
            </w:r>
          </w:p>
        </w:tc>
      </w:tr>
      <w:tr w:rsidR="009B5E65" w:rsidRPr="005E351D" w:rsidTr="00086A1F">
        <w:tc>
          <w:tcPr>
            <w:tcW w:w="2088" w:type="dxa"/>
          </w:tcPr>
          <w:p w:rsidR="009B5E65" w:rsidRDefault="009B5E65" w:rsidP="00086A1F">
            <w:pPr>
              <w:autoSpaceDE w:val="0"/>
              <w:autoSpaceDN w:val="0"/>
              <w:adjustRightInd w:val="0"/>
              <w:rPr>
                <w:rFonts w:ascii="Calibri" w:hAnsi="Calibri" w:cs="Calibri"/>
                <w:color w:val="000000"/>
                <w:sz w:val="20"/>
                <w:szCs w:val="20"/>
              </w:rPr>
            </w:pPr>
            <w:r>
              <w:rPr>
                <w:rFonts w:ascii="Calibri" w:hAnsi="Calibri" w:cs="Calibri"/>
                <w:color w:val="000000"/>
                <w:sz w:val="20"/>
                <w:szCs w:val="20"/>
              </w:rPr>
              <w:t xml:space="preserve">      Agro-processing</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5.8</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4.1</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12.5</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4.3</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33.5</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20.3</w:t>
            </w:r>
          </w:p>
        </w:tc>
      </w:tr>
      <w:tr w:rsidR="009B5E65" w:rsidRPr="005E351D" w:rsidTr="00086A1F">
        <w:tc>
          <w:tcPr>
            <w:tcW w:w="2088" w:type="dxa"/>
          </w:tcPr>
          <w:p w:rsidR="009B5E65" w:rsidRDefault="009B5E65" w:rsidP="00086A1F">
            <w:pPr>
              <w:autoSpaceDE w:val="0"/>
              <w:autoSpaceDN w:val="0"/>
              <w:adjustRightInd w:val="0"/>
              <w:rPr>
                <w:rFonts w:ascii="Calibri" w:hAnsi="Calibri" w:cs="Calibri"/>
                <w:color w:val="000000"/>
                <w:sz w:val="20"/>
                <w:szCs w:val="20"/>
              </w:rPr>
            </w:pPr>
            <w:r>
              <w:rPr>
                <w:rFonts w:ascii="Calibri" w:hAnsi="Calibri" w:cs="Calibri"/>
                <w:color w:val="000000"/>
                <w:sz w:val="20"/>
                <w:szCs w:val="20"/>
              </w:rPr>
              <w:t xml:space="preserve">      Textiles/clothing</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3.7</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2.2</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25.8</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15.3</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68.6</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62.2</w:t>
            </w:r>
          </w:p>
        </w:tc>
      </w:tr>
      <w:tr w:rsidR="009B5E65" w:rsidRPr="005E351D" w:rsidTr="00086A1F">
        <w:tc>
          <w:tcPr>
            <w:tcW w:w="2088" w:type="dxa"/>
          </w:tcPr>
          <w:p w:rsidR="009B5E65" w:rsidRDefault="009B5E65" w:rsidP="00086A1F">
            <w:pPr>
              <w:autoSpaceDE w:val="0"/>
              <w:autoSpaceDN w:val="0"/>
              <w:adjustRightInd w:val="0"/>
              <w:rPr>
                <w:rFonts w:ascii="Calibri" w:hAnsi="Calibri" w:cs="Calibri"/>
                <w:color w:val="000000"/>
                <w:sz w:val="20"/>
                <w:szCs w:val="20"/>
              </w:rPr>
            </w:pPr>
            <w:r>
              <w:rPr>
                <w:rFonts w:ascii="Calibri" w:hAnsi="Calibri" w:cs="Calibri"/>
                <w:color w:val="000000"/>
                <w:sz w:val="20"/>
                <w:szCs w:val="20"/>
              </w:rPr>
              <w:t xml:space="preserve">      Wood/paper</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1.4</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0.8</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2.9</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3.0</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34.9</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44.2</w:t>
            </w:r>
          </w:p>
        </w:tc>
      </w:tr>
      <w:tr w:rsidR="009B5E65" w:rsidRPr="005E351D" w:rsidTr="00086A1F">
        <w:tc>
          <w:tcPr>
            <w:tcW w:w="2088" w:type="dxa"/>
          </w:tcPr>
          <w:p w:rsidR="009B5E65" w:rsidRDefault="009B5E65" w:rsidP="00086A1F">
            <w:pPr>
              <w:autoSpaceDE w:val="0"/>
              <w:autoSpaceDN w:val="0"/>
              <w:adjustRightInd w:val="0"/>
              <w:rPr>
                <w:rFonts w:ascii="Calibri" w:hAnsi="Calibri" w:cs="Calibri"/>
                <w:color w:val="000000"/>
                <w:sz w:val="20"/>
                <w:szCs w:val="20"/>
              </w:rPr>
            </w:pPr>
            <w:r>
              <w:rPr>
                <w:rFonts w:ascii="Calibri" w:hAnsi="Calibri" w:cs="Calibri"/>
                <w:color w:val="000000"/>
                <w:sz w:val="20"/>
                <w:szCs w:val="20"/>
              </w:rPr>
              <w:t xml:space="preserve">      </w:t>
            </w:r>
            <w:r w:rsidR="00362103">
              <w:rPr>
                <w:rFonts w:ascii="Calibri" w:hAnsi="Calibri" w:cs="Calibri"/>
                <w:color w:val="000000"/>
                <w:sz w:val="20"/>
                <w:szCs w:val="20"/>
              </w:rPr>
              <w:t>Fuel/</w:t>
            </w:r>
            <w:r w:rsidR="00092865">
              <w:rPr>
                <w:rFonts w:ascii="Calibri" w:hAnsi="Calibri" w:cs="Calibri"/>
                <w:color w:val="000000"/>
                <w:sz w:val="20"/>
                <w:szCs w:val="20"/>
              </w:rPr>
              <w:t>c</w:t>
            </w:r>
            <w:r>
              <w:rPr>
                <w:rFonts w:ascii="Calibri" w:hAnsi="Calibri" w:cs="Calibri"/>
                <w:color w:val="000000"/>
                <w:sz w:val="20"/>
                <w:szCs w:val="20"/>
              </w:rPr>
              <w:t>hemicals</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2.8</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2.3</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3.2</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22.5</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21.8</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74.7</w:t>
            </w:r>
          </w:p>
        </w:tc>
      </w:tr>
      <w:tr w:rsidR="009B5E65" w:rsidRPr="005E351D" w:rsidTr="00086A1F">
        <w:tc>
          <w:tcPr>
            <w:tcW w:w="2088" w:type="dxa"/>
          </w:tcPr>
          <w:p w:rsidR="009B5E65" w:rsidRDefault="009B5E65" w:rsidP="00086A1F">
            <w:pPr>
              <w:autoSpaceDE w:val="0"/>
              <w:autoSpaceDN w:val="0"/>
              <w:adjustRightInd w:val="0"/>
              <w:rPr>
                <w:rFonts w:ascii="Calibri" w:hAnsi="Calibri" w:cs="Calibri"/>
                <w:color w:val="000000"/>
                <w:sz w:val="20"/>
                <w:szCs w:val="20"/>
              </w:rPr>
            </w:pPr>
            <w:r>
              <w:rPr>
                <w:rFonts w:ascii="Calibri" w:hAnsi="Calibri" w:cs="Calibri"/>
                <w:color w:val="000000"/>
                <w:sz w:val="20"/>
                <w:szCs w:val="20"/>
              </w:rPr>
              <w:t xml:space="preserve">      Metals/machinery</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4.4</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3.0</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11.9</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38.5</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36.8</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70.4</w:t>
            </w:r>
          </w:p>
        </w:tc>
      </w:tr>
      <w:tr w:rsidR="009B5E65" w:rsidRPr="005E351D" w:rsidTr="00086A1F">
        <w:tc>
          <w:tcPr>
            <w:tcW w:w="2088" w:type="dxa"/>
          </w:tcPr>
          <w:p w:rsidR="009B5E65" w:rsidRDefault="009B5E65" w:rsidP="00086A1F">
            <w:pPr>
              <w:autoSpaceDE w:val="0"/>
              <w:autoSpaceDN w:val="0"/>
              <w:adjustRightInd w:val="0"/>
              <w:rPr>
                <w:rFonts w:ascii="Calibri" w:hAnsi="Calibri" w:cs="Calibri"/>
                <w:color w:val="000000"/>
                <w:sz w:val="20"/>
                <w:szCs w:val="20"/>
              </w:rPr>
            </w:pPr>
            <w:r>
              <w:rPr>
                <w:rFonts w:ascii="Calibri" w:hAnsi="Calibri" w:cs="Calibri"/>
                <w:color w:val="000000"/>
                <w:sz w:val="20"/>
                <w:szCs w:val="20"/>
              </w:rPr>
              <w:t xml:space="preserve">      Other</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2.8</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1.4</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1.4</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2.7</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8.1</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17.6</w:t>
            </w:r>
          </w:p>
        </w:tc>
      </w:tr>
      <w:tr w:rsidR="009B5E65" w:rsidRPr="005E351D" w:rsidTr="00086A1F">
        <w:tc>
          <w:tcPr>
            <w:tcW w:w="2088" w:type="dxa"/>
          </w:tcPr>
          <w:p w:rsidR="009B5E65" w:rsidRDefault="009B5E65" w:rsidP="00086A1F">
            <w:pPr>
              <w:autoSpaceDE w:val="0"/>
              <w:autoSpaceDN w:val="0"/>
              <w:adjustRightInd w:val="0"/>
              <w:rPr>
                <w:rFonts w:ascii="Calibri" w:hAnsi="Calibri" w:cs="Calibri"/>
                <w:color w:val="000000"/>
                <w:sz w:val="20"/>
                <w:szCs w:val="20"/>
              </w:rPr>
            </w:pPr>
            <w:r>
              <w:rPr>
                <w:rFonts w:ascii="Calibri" w:hAnsi="Calibri" w:cs="Calibri"/>
                <w:color w:val="000000"/>
                <w:sz w:val="20"/>
                <w:szCs w:val="20"/>
              </w:rPr>
              <w:t xml:space="preserve">   Other</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10.7</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5.7</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0.0</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0.0</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0.0</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0.0</w:t>
            </w:r>
          </w:p>
        </w:tc>
      </w:tr>
      <w:tr w:rsidR="009B5E65" w:rsidRPr="005E351D" w:rsidTr="00086A1F">
        <w:trPr>
          <w:trHeight w:hRule="exact" w:val="115"/>
        </w:trPr>
        <w:tc>
          <w:tcPr>
            <w:tcW w:w="2088" w:type="dxa"/>
          </w:tcPr>
          <w:p w:rsidR="009B5E65" w:rsidRDefault="009B5E65" w:rsidP="00086A1F">
            <w:pPr>
              <w:autoSpaceDE w:val="0"/>
              <w:autoSpaceDN w:val="0"/>
              <w:adjustRightInd w:val="0"/>
              <w:rPr>
                <w:rFonts w:ascii="Calibri" w:hAnsi="Calibri" w:cs="Calibri"/>
                <w:color w:val="000000"/>
                <w:sz w:val="20"/>
                <w:szCs w:val="20"/>
              </w:rPr>
            </w:pP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p>
        </w:tc>
      </w:tr>
      <w:tr w:rsidR="009B5E65" w:rsidRPr="005E351D" w:rsidTr="00086A1F">
        <w:tc>
          <w:tcPr>
            <w:tcW w:w="2088" w:type="dxa"/>
          </w:tcPr>
          <w:p w:rsidR="009B5E65" w:rsidRDefault="009B5E65" w:rsidP="00086A1F">
            <w:pPr>
              <w:autoSpaceDE w:val="0"/>
              <w:autoSpaceDN w:val="0"/>
              <w:adjustRightInd w:val="0"/>
              <w:rPr>
                <w:rFonts w:ascii="Calibri" w:hAnsi="Calibri" w:cs="Calibri"/>
                <w:color w:val="000000"/>
                <w:sz w:val="20"/>
                <w:szCs w:val="20"/>
              </w:rPr>
            </w:pPr>
            <w:r>
              <w:rPr>
                <w:rFonts w:ascii="Calibri" w:hAnsi="Calibri" w:cs="Calibri"/>
                <w:color w:val="000000"/>
                <w:sz w:val="20"/>
                <w:szCs w:val="20"/>
              </w:rPr>
              <w:t>Services</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36.2</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26.1</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16.3</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12.6</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22.0</w:t>
            </w:r>
          </w:p>
        </w:tc>
        <w:tc>
          <w:tcPr>
            <w:tcW w:w="930" w:type="dxa"/>
          </w:tcPr>
          <w:p w:rsidR="009B5E65" w:rsidRDefault="009B5E65" w:rsidP="00086A1F">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20.5</w:t>
            </w:r>
          </w:p>
        </w:tc>
      </w:tr>
      <w:tr w:rsidR="009B5E65" w:rsidRPr="005E351D" w:rsidTr="00086A1F">
        <w:trPr>
          <w:trHeight w:hRule="exact" w:val="115"/>
        </w:trPr>
        <w:tc>
          <w:tcPr>
            <w:tcW w:w="2088" w:type="dxa"/>
          </w:tcPr>
          <w:p w:rsidR="009B5E65" w:rsidRPr="005E351D" w:rsidRDefault="009B5E65" w:rsidP="00086A1F">
            <w:pPr>
              <w:rPr>
                <w:sz w:val="20"/>
                <w:szCs w:val="20"/>
              </w:rPr>
            </w:pPr>
          </w:p>
        </w:tc>
        <w:tc>
          <w:tcPr>
            <w:tcW w:w="930" w:type="dxa"/>
          </w:tcPr>
          <w:p w:rsidR="009B5E65" w:rsidRPr="005E351D" w:rsidRDefault="009B5E65" w:rsidP="00086A1F">
            <w:pPr>
              <w:rPr>
                <w:sz w:val="20"/>
                <w:szCs w:val="20"/>
              </w:rPr>
            </w:pPr>
          </w:p>
        </w:tc>
        <w:tc>
          <w:tcPr>
            <w:tcW w:w="930" w:type="dxa"/>
          </w:tcPr>
          <w:p w:rsidR="009B5E65" w:rsidRPr="005E351D" w:rsidRDefault="009B5E65" w:rsidP="00086A1F">
            <w:pPr>
              <w:rPr>
                <w:sz w:val="20"/>
                <w:szCs w:val="20"/>
              </w:rPr>
            </w:pPr>
          </w:p>
        </w:tc>
        <w:tc>
          <w:tcPr>
            <w:tcW w:w="930" w:type="dxa"/>
          </w:tcPr>
          <w:p w:rsidR="009B5E65" w:rsidRPr="005E351D" w:rsidRDefault="009B5E65" w:rsidP="00086A1F">
            <w:pPr>
              <w:rPr>
                <w:sz w:val="20"/>
                <w:szCs w:val="20"/>
              </w:rPr>
            </w:pPr>
          </w:p>
        </w:tc>
        <w:tc>
          <w:tcPr>
            <w:tcW w:w="930" w:type="dxa"/>
          </w:tcPr>
          <w:p w:rsidR="009B5E65" w:rsidRPr="005E351D" w:rsidRDefault="009B5E65" w:rsidP="00086A1F">
            <w:pPr>
              <w:rPr>
                <w:sz w:val="20"/>
                <w:szCs w:val="20"/>
              </w:rPr>
            </w:pPr>
          </w:p>
        </w:tc>
        <w:tc>
          <w:tcPr>
            <w:tcW w:w="930" w:type="dxa"/>
          </w:tcPr>
          <w:p w:rsidR="009B5E65" w:rsidRPr="005E351D" w:rsidRDefault="009B5E65" w:rsidP="00086A1F">
            <w:pPr>
              <w:rPr>
                <w:sz w:val="20"/>
                <w:szCs w:val="20"/>
              </w:rPr>
            </w:pPr>
          </w:p>
        </w:tc>
        <w:tc>
          <w:tcPr>
            <w:tcW w:w="930" w:type="dxa"/>
          </w:tcPr>
          <w:p w:rsidR="009B5E65" w:rsidRPr="005E351D" w:rsidRDefault="009B5E65" w:rsidP="00086A1F">
            <w:pPr>
              <w:rPr>
                <w:sz w:val="20"/>
                <w:szCs w:val="20"/>
              </w:rPr>
            </w:pPr>
          </w:p>
        </w:tc>
      </w:tr>
    </w:tbl>
    <w:p w:rsidR="009B5E65" w:rsidRDefault="009B5E65" w:rsidP="009B5E65">
      <w:pPr>
        <w:spacing w:after="0" w:line="240" w:lineRule="auto"/>
        <w:rPr>
          <w:sz w:val="20"/>
        </w:rPr>
      </w:pPr>
      <w:r>
        <w:rPr>
          <w:sz w:val="20"/>
        </w:rPr>
        <w:t xml:space="preserve">Source: </w:t>
      </w:r>
      <w:r>
        <w:rPr>
          <w:sz w:val="20"/>
        </w:rPr>
        <w:tab/>
        <w:t>Authors’ calculations using the 2007 social accounting matrix (</w:t>
      </w:r>
      <w:r w:rsidRPr="00D31950">
        <w:rPr>
          <w:sz w:val="20"/>
        </w:rPr>
        <w:t>Arndt</w:t>
      </w:r>
      <w:r>
        <w:rPr>
          <w:sz w:val="20"/>
        </w:rPr>
        <w:t xml:space="preserve"> et al., 2009).</w:t>
      </w:r>
    </w:p>
    <w:p w:rsidR="009B5E65" w:rsidRDefault="009B5E65" w:rsidP="009B5E65">
      <w:pPr>
        <w:spacing w:after="0" w:line="240" w:lineRule="auto"/>
        <w:ind w:left="720" w:hanging="720"/>
        <w:rPr>
          <w:sz w:val="20"/>
        </w:rPr>
      </w:pPr>
      <w:r>
        <w:rPr>
          <w:sz w:val="20"/>
        </w:rPr>
        <w:t>Note:</w:t>
      </w:r>
      <w:r>
        <w:rPr>
          <w:sz w:val="20"/>
        </w:rPr>
        <w:tab/>
        <w:t xml:space="preserve">‘GDP’ is gross domestic product; ‘export intensity’ is the share of exports in gross </w:t>
      </w:r>
      <w:r>
        <w:rPr>
          <w:sz w:val="20"/>
        </w:rPr>
        <w:tab/>
      </w:r>
    </w:p>
    <w:p w:rsidR="009B5E65" w:rsidRPr="00B01CF7" w:rsidRDefault="009B5E65" w:rsidP="009B5E65">
      <w:pPr>
        <w:spacing w:after="0" w:line="240" w:lineRule="auto"/>
        <w:ind w:left="720"/>
        <w:rPr>
          <w:sz w:val="20"/>
        </w:rPr>
      </w:pPr>
      <w:r>
        <w:rPr>
          <w:sz w:val="20"/>
        </w:rPr>
        <w:t xml:space="preserve">domestic output; ‘import intensity’ is the share of imports in total demand. </w:t>
      </w:r>
    </w:p>
    <w:p w:rsidR="009B5E65" w:rsidRDefault="009B5E65" w:rsidP="009B5E65">
      <w:pPr>
        <w:spacing w:after="0" w:line="240" w:lineRule="auto"/>
      </w:pPr>
    </w:p>
    <w:p w:rsidR="009B5E65" w:rsidRDefault="009B5E65" w:rsidP="009B5E65">
      <w:pPr>
        <w:spacing w:after="0" w:line="240" w:lineRule="auto"/>
      </w:pPr>
    </w:p>
    <w:p w:rsidR="009B5E65" w:rsidRDefault="009B5E65" w:rsidP="009B5E65">
      <w:pPr>
        <w:spacing w:after="0" w:line="240" w:lineRule="auto"/>
      </w:pPr>
    </w:p>
    <w:p w:rsidR="009B5E65" w:rsidRDefault="009B5E65" w:rsidP="009B5E65">
      <w:pPr>
        <w:spacing w:after="0" w:line="240" w:lineRule="auto"/>
      </w:pPr>
      <w:r>
        <w:t>Figure 1: Annualized economic growth by major sectors, 2000-2009</w:t>
      </w:r>
    </w:p>
    <w:p w:rsidR="009B5E65" w:rsidRDefault="009B5E65" w:rsidP="009B5E65">
      <w:pPr>
        <w:pBdr>
          <w:top w:val="single" w:sz="4" w:space="1" w:color="auto"/>
          <w:bottom w:val="single" w:sz="4" w:space="1" w:color="auto"/>
          <w:between w:val="single" w:sz="4" w:space="1" w:color="auto"/>
        </w:pBdr>
        <w:spacing w:after="0" w:line="240" w:lineRule="auto"/>
        <w:jc w:val="center"/>
      </w:pPr>
      <w:r w:rsidRPr="00A83978">
        <w:rPr>
          <w:noProof/>
          <w:lang w:val="da-DK" w:eastAsia="da-DK"/>
        </w:rPr>
        <w:drawing>
          <wp:inline distT="0" distB="0" distL="0" distR="0">
            <wp:extent cx="5060950" cy="2842895"/>
            <wp:effectExtent l="19050" t="0" r="6350" b="0"/>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5060950" cy="2842895"/>
                    </a:xfrm>
                    <a:prstGeom prst="rect">
                      <a:avLst/>
                    </a:prstGeom>
                    <a:noFill/>
                    <a:ln w="9525">
                      <a:noFill/>
                      <a:miter lim="800000"/>
                      <a:headEnd/>
                      <a:tailEnd/>
                    </a:ln>
                  </pic:spPr>
                </pic:pic>
              </a:graphicData>
            </a:graphic>
          </wp:inline>
        </w:drawing>
      </w:r>
    </w:p>
    <w:p w:rsidR="009B5E65" w:rsidRPr="005D7983" w:rsidRDefault="009B5E65" w:rsidP="009B5E65">
      <w:pPr>
        <w:spacing w:after="0" w:line="240" w:lineRule="auto"/>
        <w:rPr>
          <w:sz w:val="20"/>
        </w:rPr>
      </w:pPr>
      <w:r>
        <w:rPr>
          <w:sz w:val="20"/>
        </w:rPr>
        <w:t xml:space="preserve">Source: </w:t>
      </w:r>
      <w:r>
        <w:rPr>
          <w:sz w:val="20"/>
        </w:rPr>
        <w:tab/>
        <w:t>Authors' calculations using General Statistical Office (GSO, 2009a and 2009b).</w:t>
      </w:r>
    </w:p>
    <w:p w:rsidR="009B5E65" w:rsidRDefault="009B5E65" w:rsidP="009B5E65">
      <w:pPr>
        <w:spacing w:after="0" w:line="240" w:lineRule="auto"/>
      </w:pPr>
    </w:p>
    <w:p w:rsidR="009B5E65" w:rsidRDefault="009B5E65" w:rsidP="009B5E65">
      <w:pPr>
        <w:spacing w:after="0" w:line="240" w:lineRule="auto"/>
      </w:pPr>
    </w:p>
    <w:p w:rsidR="009B5E65" w:rsidRDefault="009B5E65" w:rsidP="009B5E65">
      <w:pPr>
        <w:spacing w:after="0" w:line="240" w:lineRule="auto"/>
      </w:pPr>
    </w:p>
    <w:p w:rsidR="009B5E65" w:rsidRDefault="009B5E65" w:rsidP="009B5E65">
      <w:pPr>
        <w:spacing w:after="0" w:line="240" w:lineRule="auto"/>
      </w:pPr>
    </w:p>
    <w:p w:rsidR="009B5E65" w:rsidRDefault="009B5E65" w:rsidP="009B5E65">
      <w:pPr>
        <w:spacing w:after="0" w:line="240" w:lineRule="auto"/>
      </w:pPr>
    </w:p>
    <w:p w:rsidR="009B5E65" w:rsidRDefault="009B5E65" w:rsidP="009B5E65">
      <w:pPr>
        <w:spacing w:after="0" w:line="240" w:lineRule="auto"/>
      </w:pPr>
      <w:r>
        <w:t>Figure 2: Foreign investment, consumer prices and exchange rate, 2000-2009</w:t>
      </w:r>
    </w:p>
    <w:p w:rsidR="009B5E65" w:rsidRDefault="009B5E65" w:rsidP="009B5E65">
      <w:pPr>
        <w:pBdr>
          <w:top w:val="single" w:sz="4" w:space="1" w:color="auto"/>
          <w:bottom w:val="single" w:sz="4" w:space="1" w:color="auto"/>
          <w:between w:val="single" w:sz="4" w:space="1" w:color="auto"/>
        </w:pBdr>
        <w:spacing w:after="0" w:line="240" w:lineRule="auto"/>
        <w:jc w:val="center"/>
      </w:pPr>
      <w:r w:rsidRPr="00AA08FA">
        <w:rPr>
          <w:noProof/>
          <w:lang w:val="da-DK" w:eastAsia="da-DK"/>
        </w:rPr>
        <w:drawing>
          <wp:inline distT="0" distB="0" distL="0" distR="0">
            <wp:extent cx="5333999" cy="2812676"/>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B5E65" w:rsidRDefault="009B5E65" w:rsidP="009B5E65">
      <w:pPr>
        <w:spacing w:after="0" w:line="240" w:lineRule="auto"/>
        <w:rPr>
          <w:sz w:val="20"/>
        </w:rPr>
      </w:pPr>
      <w:r>
        <w:rPr>
          <w:sz w:val="20"/>
        </w:rPr>
        <w:t xml:space="preserve">Source: </w:t>
      </w:r>
      <w:r>
        <w:rPr>
          <w:sz w:val="20"/>
        </w:rPr>
        <w:tab/>
        <w:t>Authors' calculations using General Statistical Office (GSO, 2009a and 2009b).</w:t>
      </w:r>
    </w:p>
    <w:p w:rsidR="009B5E65" w:rsidRPr="005D7983" w:rsidRDefault="009B5E65" w:rsidP="009B5E65">
      <w:pPr>
        <w:spacing w:after="0" w:line="240" w:lineRule="auto"/>
        <w:rPr>
          <w:sz w:val="20"/>
        </w:rPr>
      </w:pPr>
      <w:r>
        <w:rPr>
          <w:sz w:val="20"/>
        </w:rPr>
        <w:t>Note:</w:t>
      </w:r>
      <w:r>
        <w:rPr>
          <w:sz w:val="20"/>
        </w:rPr>
        <w:tab/>
        <w:t xml:space="preserve">‘Foreign direct investment’ is implemented and not registered investment. </w:t>
      </w:r>
    </w:p>
    <w:p w:rsidR="009B5E65" w:rsidRDefault="009B5E65" w:rsidP="009B5E65">
      <w:pPr>
        <w:spacing w:after="0" w:line="240" w:lineRule="auto"/>
      </w:pPr>
    </w:p>
    <w:p w:rsidR="009B5E65" w:rsidRDefault="009B5E65" w:rsidP="009B5E65">
      <w:pPr>
        <w:spacing w:after="0" w:line="240" w:lineRule="auto"/>
      </w:pPr>
    </w:p>
    <w:p w:rsidR="009B5E65" w:rsidRDefault="009B5E65" w:rsidP="009B5E65">
      <w:pPr>
        <w:spacing w:after="0" w:line="240" w:lineRule="auto"/>
      </w:pPr>
    </w:p>
    <w:p w:rsidR="009B5E65" w:rsidRDefault="009B5E65" w:rsidP="009B5E65">
      <w:pPr>
        <w:spacing w:after="0" w:line="240" w:lineRule="auto"/>
      </w:pPr>
      <w:r>
        <w:t>Figure 3: World commodity prices, 2006-2009</w:t>
      </w:r>
    </w:p>
    <w:p w:rsidR="009B5E65" w:rsidRDefault="009B5E65" w:rsidP="009B5E65">
      <w:pPr>
        <w:pBdr>
          <w:top w:val="single" w:sz="4" w:space="1" w:color="auto"/>
          <w:bottom w:val="single" w:sz="4" w:space="1" w:color="auto"/>
          <w:between w:val="single" w:sz="4" w:space="1" w:color="auto"/>
        </w:pBdr>
        <w:spacing w:after="0" w:line="240" w:lineRule="auto"/>
        <w:jc w:val="center"/>
      </w:pPr>
      <w:r w:rsidRPr="00FB6C5E">
        <w:rPr>
          <w:noProof/>
          <w:lang w:val="da-DK" w:eastAsia="da-DK"/>
        </w:rPr>
        <w:drawing>
          <wp:inline distT="0" distB="0" distL="0" distR="0">
            <wp:extent cx="4972050" cy="2743200"/>
            <wp:effectExtent l="0" t="0" r="0" b="0"/>
            <wp:docPr id="6"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B5E65" w:rsidRPr="005D7983" w:rsidRDefault="009B5E65" w:rsidP="009B5E65">
      <w:pPr>
        <w:spacing w:after="0" w:line="240" w:lineRule="auto"/>
        <w:rPr>
          <w:sz w:val="20"/>
        </w:rPr>
      </w:pPr>
      <w:r>
        <w:rPr>
          <w:sz w:val="20"/>
        </w:rPr>
        <w:t xml:space="preserve">Source: </w:t>
      </w:r>
      <w:r>
        <w:rPr>
          <w:sz w:val="20"/>
        </w:rPr>
        <w:tab/>
        <w:t>Authors' calculations using World Bank (2009b).</w:t>
      </w:r>
    </w:p>
    <w:p w:rsidR="009B5E65" w:rsidRDefault="009B5E65" w:rsidP="009B5E65">
      <w:pPr>
        <w:spacing w:after="0" w:line="240" w:lineRule="auto"/>
      </w:pPr>
    </w:p>
    <w:p w:rsidR="009B5E65" w:rsidRDefault="009B5E65" w:rsidP="009B5E65">
      <w:pPr>
        <w:spacing w:after="0" w:line="240" w:lineRule="auto"/>
      </w:pPr>
    </w:p>
    <w:p w:rsidR="009B5E65" w:rsidRDefault="009B5E65" w:rsidP="009B5E65">
      <w:r>
        <w:br w:type="page"/>
      </w:r>
    </w:p>
    <w:p w:rsidR="009B5E65" w:rsidRDefault="009B5E65" w:rsidP="009B5E65">
      <w:pPr>
        <w:spacing w:after="0" w:line="240" w:lineRule="auto"/>
      </w:pPr>
      <w:r>
        <w:lastRenderedPageBreak/>
        <w:t>Table 2: Foreign merchandi</w:t>
      </w:r>
      <w:r w:rsidR="00CB11BF">
        <w:t>s</w:t>
      </w:r>
      <w:r>
        <w:t xml:space="preserve">e trade, 2006-2009 </w:t>
      </w:r>
    </w:p>
    <w:tbl>
      <w:tblPr>
        <w:tblStyle w:val="TableGrid"/>
        <w:tblW w:w="0" w:type="auto"/>
        <w:tblBorders>
          <w:left w:val="none" w:sz="0" w:space="0" w:color="auto"/>
          <w:right w:val="none" w:sz="0" w:space="0" w:color="auto"/>
          <w:insideH w:val="none" w:sz="0" w:space="0" w:color="auto"/>
          <w:insideV w:val="none" w:sz="0" w:space="0" w:color="auto"/>
        </w:tblBorders>
        <w:tblLook w:val="04A0"/>
      </w:tblPr>
      <w:tblGrid>
        <w:gridCol w:w="1908"/>
        <w:gridCol w:w="976"/>
        <w:gridCol w:w="976"/>
        <w:gridCol w:w="977"/>
        <w:gridCol w:w="976"/>
        <w:gridCol w:w="976"/>
        <w:gridCol w:w="977"/>
      </w:tblGrid>
      <w:tr w:rsidR="009B5E65" w:rsidRPr="00DC5804" w:rsidTr="00086A1F">
        <w:tc>
          <w:tcPr>
            <w:tcW w:w="1908" w:type="dxa"/>
            <w:tcBorders>
              <w:top w:val="single" w:sz="4" w:space="0" w:color="auto"/>
              <w:bottom w:val="nil"/>
            </w:tcBorders>
          </w:tcPr>
          <w:p w:rsidR="009B5E65" w:rsidRPr="00DC5804" w:rsidRDefault="009B5E65" w:rsidP="00086A1F">
            <w:pPr>
              <w:autoSpaceDE w:val="0"/>
              <w:autoSpaceDN w:val="0"/>
              <w:adjustRightInd w:val="0"/>
              <w:jc w:val="right"/>
              <w:rPr>
                <w:rFonts w:cs="Calibri"/>
                <w:color w:val="000000"/>
                <w:sz w:val="20"/>
                <w:szCs w:val="20"/>
              </w:rPr>
            </w:pPr>
          </w:p>
        </w:tc>
        <w:tc>
          <w:tcPr>
            <w:tcW w:w="5858" w:type="dxa"/>
            <w:gridSpan w:val="6"/>
            <w:tcBorders>
              <w:top w:val="single" w:sz="4" w:space="0" w:color="000000" w:themeColor="text1"/>
              <w:bottom w:val="single" w:sz="4" w:space="0" w:color="000000" w:themeColor="text1"/>
            </w:tcBorders>
          </w:tcPr>
          <w:p w:rsidR="009B5E65" w:rsidRPr="00DC5804" w:rsidRDefault="009B5E65" w:rsidP="00086A1F">
            <w:pPr>
              <w:autoSpaceDE w:val="0"/>
              <w:autoSpaceDN w:val="0"/>
              <w:adjustRightInd w:val="0"/>
              <w:jc w:val="center"/>
              <w:rPr>
                <w:rFonts w:cs="Calibri"/>
                <w:color w:val="000000"/>
                <w:sz w:val="20"/>
                <w:szCs w:val="20"/>
              </w:rPr>
            </w:pPr>
            <w:r>
              <w:rPr>
                <w:rFonts w:cs="Calibri"/>
                <w:color w:val="000000"/>
                <w:sz w:val="20"/>
                <w:szCs w:val="20"/>
              </w:rPr>
              <w:t xml:space="preserve">Quarterly average </w:t>
            </w:r>
            <w:r w:rsidRPr="00DC5804">
              <w:rPr>
                <w:rFonts w:cs="Calibri"/>
                <w:color w:val="000000"/>
                <w:sz w:val="20"/>
                <w:szCs w:val="20"/>
              </w:rPr>
              <w:t>value (constant 200</w:t>
            </w:r>
            <w:r>
              <w:rPr>
                <w:rFonts w:cs="Calibri"/>
                <w:color w:val="000000"/>
                <w:sz w:val="20"/>
                <w:szCs w:val="20"/>
              </w:rPr>
              <w:t>7</w:t>
            </w:r>
            <w:r w:rsidRPr="00DC5804">
              <w:rPr>
                <w:rFonts w:cs="Calibri"/>
                <w:color w:val="000000"/>
                <w:sz w:val="20"/>
                <w:szCs w:val="20"/>
              </w:rPr>
              <w:t xml:space="preserve"> US$ million)</w:t>
            </w:r>
          </w:p>
        </w:tc>
      </w:tr>
      <w:tr w:rsidR="009B5E65" w:rsidRPr="00DC5804" w:rsidTr="00086A1F">
        <w:tc>
          <w:tcPr>
            <w:tcW w:w="1908" w:type="dxa"/>
            <w:tcBorders>
              <w:top w:val="nil"/>
              <w:bottom w:val="single" w:sz="4" w:space="0" w:color="auto"/>
            </w:tcBorders>
          </w:tcPr>
          <w:p w:rsidR="009B5E65" w:rsidRPr="00DC5804" w:rsidRDefault="009B5E65" w:rsidP="00086A1F">
            <w:pPr>
              <w:autoSpaceDE w:val="0"/>
              <w:autoSpaceDN w:val="0"/>
              <w:adjustRightInd w:val="0"/>
              <w:jc w:val="right"/>
              <w:rPr>
                <w:rFonts w:cs="Calibri"/>
                <w:color w:val="000000"/>
                <w:sz w:val="20"/>
                <w:szCs w:val="20"/>
              </w:rPr>
            </w:pPr>
          </w:p>
        </w:tc>
        <w:tc>
          <w:tcPr>
            <w:tcW w:w="976" w:type="dxa"/>
            <w:tcBorders>
              <w:top w:val="single" w:sz="4" w:space="0" w:color="000000" w:themeColor="text1"/>
              <w:bottom w:val="single" w:sz="4" w:space="0" w:color="000000" w:themeColor="text1"/>
            </w:tcBorders>
          </w:tcPr>
          <w:p w:rsidR="009B5E65" w:rsidRPr="00DC5804" w:rsidRDefault="009B5E65" w:rsidP="00086A1F">
            <w:pPr>
              <w:autoSpaceDE w:val="0"/>
              <w:autoSpaceDN w:val="0"/>
              <w:adjustRightInd w:val="0"/>
              <w:jc w:val="center"/>
              <w:rPr>
                <w:rFonts w:cs="Calibri"/>
                <w:color w:val="000000"/>
                <w:sz w:val="20"/>
                <w:szCs w:val="20"/>
              </w:rPr>
            </w:pPr>
            <w:r w:rsidRPr="00DC5804">
              <w:rPr>
                <w:rFonts w:cs="Calibri"/>
                <w:color w:val="000000"/>
                <w:sz w:val="20"/>
                <w:szCs w:val="20"/>
              </w:rPr>
              <w:t>2006</w:t>
            </w:r>
          </w:p>
        </w:tc>
        <w:tc>
          <w:tcPr>
            <w:tcW w:w="976" w:type="dxa"/>
            <w:tcBorders>
              <w:top w:val="single" w:sz="4" w:space="0" w:color="000000" w:themeColor="text1"/>
              <w:bottom w:val="single" w:sz="4" w:space="0" w:color="000000" w:themeColor="text1"/>
            </w:tcBorders>
          </w:tcPr>
          <w:p w:rsidR="009B5E65" w:rsidRPr="00DC5804" w:rsidRDefault="009B5E65" w:rsidP="00086A1F">
            <w:pPr>
              <w:autoSpaceDE w:val="0"/>
              <w:autoSpaceDN w:val="0"/>
              <w:adjustRightInd w:val="0"/>
              <w:jc w:val="center"/>
              <w:rPr>
                <w:rFonts w:cs="Calibri"/>
                <w:color w:val="000000"/>
                <w:sz w:val="20"/>
                <w:szCs w:val="20"/>
              </w:rPr>
            </w:pPr>
            <w:r w:rsidRPr="00DC5804">
              <w:rPr>
                <w:rFonts w:cs="Calibri"/>
                <w:color w:val="000000"/>
                <w:sz w:val="20"/>
                <w:szCs w:val="20"/>
              </w:rPr>
              <w:t>2007</w:t>
            </w:r>
          </w:p>
        </w:tc>
        <w:tc>
          <w:tcPr>
            <w:tcW w:w="977" w:type="dxa"/>
            <w:tcBorders>
              <w:top w:val="single" w:sz="4" w:space="0" w:color="000000" w:themeColor="text1"/>
              <w:bottom w:val="single" w:sz="4" w:space="0" w:color="000000" w:themeColor="text1"/>
            </w:tcBorders>
          </w:tcPr>
          <w:p w:rsidR="009B5E65" w:rsidRPr="00DC5804" w:rsidRDefault="009B5E65" w:rsidP="00086A1F">
            <w:pPr>
              <w:autoSpaceDE w:val="0"/>
              <w:autoSpaceDN w:val="0"/>
              <w:adjustRightInd w:val="0"/>
              <w:jc w:val="center"/>
              <w:rPr>
                <w:rFonts w:cs="Calibri"/>
                <w:color w:val="000000"/>
                <w:sz w:val="20"/>
                <w:szCs w:val="20"/>
              </w:rPr>
            </w:pPr>
            <w:r w:rsidRPr="00DC5804">
              <w:rPr>
                <w:rFonts w:cs="Calibri"/>
                <w:color w:val="000000"/>
                <w:sz w:val="20"/>
                <w:szCs w:val="20"/>
              </w:rPr>
              <w:t>2008</w:t>
            </w:r>
          </w:p>
        </w:tc>
        <w:tc>
          <w:tcPr>
            <w:tcW w:w="976" w:type="dxa"/>
            <w:tcBorders>
              <w:top w:val="single" w:sz="4" w:space="0" w:color="000000" w:themeColor="text1"/>
              <w:bottom w:val="single" w:sz="4" w:space="0" w:color="000000" w:themeColor="text1"/>
            </w:tcBorders>
          </w:tcPr>
          <w:p w:rsidR="009B5E65" w:rsidRPr="00DC5804" w:rsidRDefault="009B5E65" w:rsidP="00086A1F">
            <w:pPr>
              <w:autoSpaceDE w:val="0"/>
              <w:autoSpaceDN w:val="0"/>
              <w:adjustRightInd w:val="0"/>
              <w:jc w:val="center"/>
              <w:rPr>
                <w:rFonts w:cs="Calibri"/>
                <w:color w:val="000000"/>
                <w:sz w:val="20"/>
                <w:szCs w:val="20"/>
              </w:rPr>
            </w:pPr>
            <w:r w:rsidRPr="00DC5804">
              <w:rPr>
                <w:rFonts w:cs="Calibri"/>
                <w:color w:val="000000"/>
                <w:sz w:val="20"/>
                <w:szCs w:val="20"/>
              </w:rPr>
              <w:t>2009</w:t>
            </w:r>
          </w:p>
          <w:p w:rsidR="009B5E65" w:rsidRPr="00DC5804" w:rsidRDefault="009B5E65" w:rsidP="00086A1F">
            <w:pPr>
              <w:autoSpaceDE w:val="0"/>
              <w:autoSpaceDN w:val="0"/>
              <w:adjustRightInd w:val="0"/>
              <w:jc w:val="center"/>
              <w:rPr>
                <w:rFonts w:cs="Calibri"/>
                <w:color w:val="000000"/>
                <w:sz w:val="20"/>
                <w:szCs w:val="20"/>
              </w:rPr>
            </w:pPr>
            <w:r w:rsidRPr="00DC5804">
              <w:rPr>
                <w:rFonts w:cs="Calibri"/>
                <w:color w:val="000000"/>
                <w:sz w:val="20"/>
                <w:szCs w:val="20"/>
              </w:rPr>
              <w:t>Q1</w:t>
            </w:r>
          </w:p>
        </w:tc>
        <w:tc>
          <w:tcPr>
            <w:tcW w:w="976" w:type="dxa"/>
            <w:tcBorders>
              <w:top w:val="single" w:sz="4" w:space="0" w:color="000000" w:themeColor="text1"/>
              <w:bottom w:val="single" w:sz="4" w:space="0" w:color="000000" w:themeColor="text1"/>
            </w:tcBorders>
          </w:tcPr>
          <w:p w:rsidR="009B5E65" w:rsidRPr="00DC5804" w:rsidRDefault="009B5E65" w:rsidP="00086A1F">
            <w:pPr>
              <w:autoSpaceDE w:val="0"/>
              <w:autoSpaceDN w:val="0"/>
              <w:adjustRightInd w:val="0"/>
              <w:jc w:val="center"/>
              <w:rPr>
                <w:rFonts w:cs="Calibri"/>
                <w:color w:val="000000"/>
                <w:sz w:val="20"/>
                <w:szCs w:val="20"/>
              </w:rPr>
            </w:pPr>
            <w:r w:rsidRPr="00DC5804">
              <w:rPr>
                <w:rFonts w:cs="Calibri"/>
                <w:color w:val="000000"/>
                <w:sz w:val="20"/>
                <w:szCs w:val="20"/>
              </w:rPr>
              <w:t>2009</w:t>
            </w:r>
          </w:p>
          <w:p w:rsidR="009B5E65" w:rsidRPr="00DC5804" w:rsidRDefault="009B5E65" w:rsidP="00086A1F">
            <w:pPr>
              <w:autoSpaceDE w:val="0"/>
              <w:autoSpaceDN w:val="0"/>
              <w:adjustRightInd w:val="0"/>
              <w:jc w:val="center"/>
              <w:rPr>
                <w:rFonts w:cs="Calibri"/>
                <w:color w:val="000000"/>
                <w:sz w:val="20"/>
                <w:szCs w:val="20"/>
              </w:rPr>
            </w:pPr>
            <w:r w:rsidRPr="00DC5804">
              <w:rPr>
                <w:rFonts w:cs="Calibri"/>
                <w:color w:val="000000"/>
                <w:sz w:val="20"/>
                <w:szCs w:val="20"/>
              </w:rPr>
              <w:t>Q2</w:t>
            </w:r>
          </w:p>
        </w:tc>
        <w:tc>
          <w:tcPr>
            <w:tcW w:w="977" w:type="dxa"/>
            <w:tcBorders>
              <w:top w:val="single" w:sz="4" w:space="0" w:color="000000" w:themeColor="text1"/>
              <w:bottom w:val="single" w:sz="4" w:space="0" w:color="000000" w:themeColor="text1"/>
            </w:tcBorders>
          </w:tcPr>
          <w:p w:rsidR="009B5E65" w:rsidRPr="00DC5804" w:rsidRDefault="009B5E65" w:rsidP="00086A1F">
            <w:pPr>
              <w:autoSpaceDE w:val="0"/>
              <w:autoSpaceDN w:val="0"/>
              <w:adjustRightInd w:val="0"/>
              <w:jc w:val="center"/>
              <w:rPr>
                <w:rFonts w:cs="Calibri"/>
                <w:color w:val="000000"/>
                <w:sz w:val="20"/>
                <w:szCs w:val="20"/>
              </w:rPr>
            </w:pPr>
            <w:r w:rsidRPr="00DC5804">
              <w:rPr>
                <w:rFonts w:cs="Calibri"/>
                <w:color w:val="000000"/>
                <w:sz w:val="20"/>
                <w:szCs w:val="20"/>
              </w:rPr>
              <w:t>2009</w:t>
            </w:r>
          </w:p>
          <w:p w:rsidR="009B5E65" w:rsidRPr="00DC5804" w:rsidRDefault="009B5E65" w:rsidP="00086A1F">
            <w:pPr>
              <w:autoSpaceDE w:val="0"/>
              <w:autoSpaceDN w:val="0"/>
              <w:adjustRightInd w:val="0"/>
              <w:jc w:val="center"/>
              <w:rPr>
                <w:rFonts w:cs="Calibri"/>
                <w:color w:val="000000"/>
                <w:sz w:val="20"/>
                <w:szCs w:val="20"/>
              </w:rPr>
            </w:pPr>
            <w:r w:rsidRPr="00DC5804">
              <w:rPr>
                <w:rFonts w:cs="Calibri"/>
                <w:color w:val="000000"/>
                <w:sz w:val="20"/>
                <w:szCs w:val="20"/>
              </w:rPr>
              <w:t>Q3</w:t>
            </w:r>
          </w:p>
        </w:tc>
      </w:tr>
      <w:tr w:rsidR="009B5E65" w:rsidRPr="00DC5804" w:rsidTr="00086A1F">
        <w:trPr>
          <w:trHeight w:hRule="exact" w:val="115"/>
        </w:trPr>
        <w:tc>
          <w:tcPr>
            <w:tcW w:w="1908" w:type="dxa"/>
            <w:tcBorders>
              <w:top w:val="single" w:sz="4" w:space="0" w:color="auto"/>
            </w:tcBorders>
          </w:tcPr>
          <w:p w:rsidR="009B5E65" w:rsidRPr="00DC5804" w:rsidRDefault="009B5E65" w:rsidP="00086A1F">
            <w:pPr>
              <w:autoSpaceDE w:val="0"/>
              <w:autoSpaceDN w:val="0"/>
              <w:adjustRightInd w:val="0"/>
              <w:jc w:val="right"/>
              <w:rPr>
                <w:rFonts w:cs="Calibri"/>
                <w:color w:val="000000"/>
                <w:sz w:val="20"/>
                <w:szCs w:val="20"/>
              </w:rPr>
            </w:pPr>
          </w:p>
        </w:tc>
        <w:tc>
          <w:tcPr>
            <w:tcW w:w="976" w:type="dxa"/>
            <w:tcBorders>
              <w:top w:val="single" w:sz="4" w:space="0" w:color="000000" w:themeColor="text1"/>
              <w:bottom w:val="nil"/>
            </w:tcBorders>
          </w:tcPr>
          <w:p w:rsidR="009B5E65" w:rsidRPr="00DC5804" w:rsidRDefault="009B5E65" w:rsidP="00086A1F">
            <w:pPr>
              <w:autoSpaceDE w:val="0"/>
              <w:autoSpaceDN w:val="0"/>
              <w:adjustRightInd w:val="0"/>
              <w:jc w:val="right"/>
              <w:rPr>
                <w:rFonts w:cs="Calibri"/>
                <w:color w:val="000000"/>
                <w:sz w:val="20"/>
                <w:szCs w:val="20"/>
              </w:rPr>
            </w:pPr>
          </w:p>
        </w:tc>
        <w:tc>
          <w:tcPr>
            <w:tcW w:w="976" w:type="dxa"/>
            <w:tcBorders>
              <w:top w:val="single" w:sz="4" w:space="0" w:color="000000" w:themeColor="text1"/>
              <w:bottom w:val="nil"/>
            </w:tcBorders>
          </w:tcPr>
          <w:p w:rsidR="009B5E65" w:rsidRPr="00DC5804" w:rsidRDefault="009B5E65" w:rsidP="00086A1F">
            <w:pPr>
              <w:autoSpaceDE w:val="0"/>
              <w:autoSpaceDN w:val="0"/>
              <w:adjustRightInd w:val="0"/>
              <w:jc w:val="right"/>
              <w:rPr>
                <w:rFonts w:cs="Calibri"/>
                <w:color w:val="000000"/>
                <w:sz w:val="20"/>
                <w:szCs w:val="20"/>
              </w:rPr>
            </w:pPr>
          </w:p>
        </w:tc>
        <w:tc>
          <w:tcPr>
            <w:tcW w:w="977" w:type="dxa"/>
            <w:tcBorders>
              <w:top w:val="single" w:sz="4" w:space="0" w:color="000000" w:themeColor="text1"/>
              <w:bottom w:val="nil"/>
            </w:tcBorders>
          </w:tcPr>
          <w:p w:rsidR="009B5E65" w:rsidRPr="00DC5804" w:rsidRDefault="009B5E65" w:rsidP="00086A1F">
            <w:pPr>
              <w:autoSpaceDE w:val="0"/>
              <w:autoSpaceDN w:val="0"/>
              <w:adjustRightInd w:val="0"/>
              <w:jc w:val="right"/>
              <w:rPr>
                <w:rFonts w:cs="Calibri"/>
                <w:color w:val="000000"/>
                <w:sz w:val="20"/>
                <w:szCs w:val="20"/>
              </w:rPr>
            </w:pPr>
          </w:p>
        </w:tc>
        <w:tc>
          <w:tcPr>
            <w:tcW w:w="976" w:type="dxa"/>
            <w:tcBorders>
              <w:top w:val="single" w:sz="4" w:space="0" w:color="000000" w:themeColor="text1"/>
              <w:bottom w:val="nil"/>
            </w:tcBorders>
          </w:tcPr>
          <w:p w:rsidR="009B5E65" w:rsidRPr="00DC5804" w:rsidRDefault="009B5E65" w:rsidP="00086A1F">
            <w:pPr>
              <w:autoSpaceDE w:val="0"/>
              <w:autoSpaceDN w:val="0"/>
              <w:adjustRightInd w:val="0"/>
              <w:jc w:val="right"/>
              <w:rPr>
                <w:rFonts w:cs="Calibri"/>
                <w:color w:val="000000"/>
                <w:sz w:val="20"/>
                <w:szCs w:val="20"/>
              </w:rPr>
            </w:pPr>
          </w:p>
        </w:tc>
        <w:tc>
          <w:tcPr>
            <w:tcW w:w="976" w:type="dxa"/>
            <w:tcBorders>
              <w:top w:val="single" w:sz="4" w:space="0" w:color="000000" w:themeColor="text1"/>
              <w:bottom w:val="nil"/>
            </w:tcBorders>
          </w:tcPr>
          <w:p w:rsidR="009B5E65" w:rsidRPr="00DC5804" w:rsidRDefault="009B5E65" w:rsidP="00086A1F">
            <w:pPr>
              <w:autoSpaceDE w:val="0"/>
              <w:autoSpaceDN w:val="0"/>
              <w:adjustRightInd w:val="0"/>
              <w:jc w:val="right"/>
              <w:rPr>
                <w:rFonts w:cs="Calibri"/>
                <w:color w:val="000000"/>
                <w:sz w:val="20"/>
                <w:szCs w:val="20"/>
              </w:rPr>
            </w:pPr>
          </w:p>
        </w:tc>
        <w:tc>
          <w:tcPr>
            <w:tcW w:w="977" w:type="dxa"/>
            <w:tcBorders>
              <w:top w:val="single" w:sz="4" w:space="0" w:color="000000" w:themeColor="text1"/>
              <w:bottom w:val="nil"/>
            </w:tcBorders>
          </w:tcPr>
          <w:p w:rsidR="009B5E65" w:rsidRPr="00DC5804" w:rsidRDefault="009B5E65" w:rsidP="00086A1F">
            <w:pPr>
              <w:autoSpaceDE w:val="0"/>
              <w:autoSpaceDN w:val="0"/>
              <w:adjustRightInd w:val="0"/>
              <w:jc w:val="right"/>
              <w:rPr>
                <w:rFonts w:cs="Calibri"/>
                <w:color w:val="000000"/>
                <w:sz w:val="20"/>
                <w:szCs w:val="20"/>
              </w:rPr>
            </w:pPr>
          </w:p>
        </w:tc>
      </w:tr>
      <w:tr w:rsidR="009B5E65" w:rsidRPr="00DC5804" w:rsidTr="00086A1F">
        <w:tc>
          <w:tcPr>
            <w:tcW w:w="1908" w:type="dxa"/>
          </w:tcPr>
          <w:p w:rsidR="009B5E65" w:rsidRPr="00DC5804" w:rsidRDefault="009B5E65" w:rsidP="00086A1F">
            <w:pPr>
              <w:autoSpaceDE w:val="0"/>
              <w:autoSpaceDN w:val="0"/>
              <w:adjustRightInd w:val="0"/>
              <w:rPr>
                <w:rFonts w:cs="Calibri"/>
                <w:color w:val="000000"/>
                <w:sz w:val="20"/>
                <w:szCs w:val="20"/>
              </w:rPr>
            </w:pPr>
            <w:r w:rsidRPr="00DC5804">
              <w:rPr>
                <w:rFonts w:cs="Calibri"/>
                <w:color w:val="000000"/>
                <w:sz w:val="20"/>
                <w:szCs w:val="20"/>
              </w:rPr>
              <w:t xml:space="preserve">Trade balance </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-789</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-3,082</w:t>
            </w:r>
          </w:p>
        </w:tc>
        <w:tc>
          <w:tcPr>
            <w:tcW w:w="977"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-1,357</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4,341</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-408</w:t>
            </w:r>
          </w:p>
        </w:tc>
        <w:tc>
          <w:tcPr>
            <w:tcW w:w="977"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-897</w:t>
            </w:r>
          </w:p>
        </w:tc>
      </w:tr>
      <w:tr w:rsidR="009B5E65" w:rsidRPr="00DC5804" w:rsidTr="00086A1F">
        <w:tc>
          <w:tcPr>
            <w:tcW w:w="1908" w:type="dxa"/>
          </w:tcPr>
          <w:p w:rsidR="009B5E65" w:rsidRPr="00DC5804" w:rsidRDefault="009B5E65" w:rsidP="00086A1F">
            <w:pPr>
              <w:autoSpaceDE w:val="0"/>
              <w:autoSpaceDN w:val="0"/>
              <w:adjustRightInd w:val="0"/>
              <w:rPr>
                <w:rFonts w:cs="Calibri"/>
                <w:color w:val="000000"/>
                <w:sz w:val="20"/>
                <w:szCs w:val="20"/>
              </w:rPr>
            </w:pPr>
            <w:r>
              <w:rPr>
                <w:rFonts w:cs="Calibri"/>
                <w:color w:val="000000"/>
                <w:sz w:val="20"/>
                <w:szCs w:val="20"/>
              </w:rPr>
              <w:t xml:space="preserve">   </w:t>
            </w:r>
            <w:r w:rsidRPr="00DC5804">
              <w:rPr>
                <w:rFonts w:cs="Calibri"/>
                <w:color w:val="000000"/>
                <w:sz w:val="20"/>
                <w:szCs w:val="20"/>
              </w:rPr>
              <w:t>Imports</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10,943</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15,191</w:t>
            </w:r>
          </w:p>
        </w:tc>
        <w:tc>
          <w:tcPr>
            <w:tcW w:w="977"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18,472</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10,643</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16,104</w:t>
            </w:r>
          </w:p>
        </w:tc>
        <w:tc>
          <w:tcPr>
            <w:tcW w:w="977"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16,648</w:t>
            </w:r>
          </w:p>
        </w:tc>
      </w:tr>
      <w:tr w:rsidR="009B5E65" w:rsidRPr="00DC5804" w:rsidTr="00086A1F">
        <w:tc>
          <w:tcPr>
            <w:tcW w:w="1908" w:type="dxa"/>
          </w:tcPr>
          <w:p w:rsidR="009B5E65" w:rsidRPr="00DC5804" w:rsidRDefault="009B5E65" w:rsidP="00086A1F">
            <w:pPr>
              <w:autoSpaceDE w:val="0"/>
              <w:autoSpaceDN w:val="0"/>
              <w:adjustRightInd w:val="0"/>
              <w:rPr>
                <w:rFonts w:cs="Calibri"/>
                <w:color w:val="000000"/>
                <w:sz w:val="20"/>
                <w:szCs w:val="20"/>
              </w:rPr>
            </w:pPr>
            <w:r>
              <w:rPr>
                <w:rFonts w:cs="Calibri"/>
                <w:color w:val="000000"/>
                <w:sz w:val="20"/>
                <w:szCs w:val="20"/>
              </w:rPr>
              <w:t xml:space="preserve">   </w:t>
            </w:r>
            <w:r w:rsidRPr="00DC5804">
              <w:rPr>
                <w:rFonts w:cs="Calibri"/>
                <w:color w:val="000000"/>
                <w:sz w:val="20"/>
                <w:szCs w:val="20"/>
              </w:rPr>
              <w:t>Exports</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10,155</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12,110</w:t>
            </w:r>
          </w:p>
        </w:tc>
        <w:tc>
          <w:tcPr>
            <w:tcW w:w="977"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17,116</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14,984</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15,696</w:t>
            </w:r>
          </w:p>
        </w:tc>
        <w:tc>
          <w:tcPr>
            <w:tcW w:w="977"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15,751</w:t>
            </w:r>
          </w:p>
        </w:tc>
      </w:tr>
      <w:tr w:rsidR="009B5E65" w:rsidRPr="00DC5804" w:rsidTr="00086A1F">
        <w:tc>
          <w:tcPr>
            <w:tcW w:w="1908" w:type="dxa"/>
          </w:tcPr>
          <w:p w:rsidR="009B5E65" w:rsidRPr="00DC5804" w:rsidRDefault="009B5E65" w:rsidP="00086A1F">
            <w:pPr>
              <w:autoSpaceDE w:val="0"/>
              <w:autoSpaceDN w:val="0"/>
              <w:adjustRightInd w:val="0"/>
              <w:rPr>
                <w:rFonts w:cs="Calibri"/>
                <w:color w:val="000000"/>
                <w:sz w:val="20"/>
                <w:szCs w:val="20"/>
              </w:rPr>
            </w:pPr>
            <w:r>
              <w:rPr>
                <w:rFonts w:cs="Calibri"/>
                <w:color w:val="000000"/>
                <w:sz w:val="20"/>
                <w:szCs w:val="20"/>
              </w:rPr>
              <w:t xml:space="preserve">      </w:t>
            </w:r>
            <w:r w:rsidRPr="00DC5804">
              <w:rPr>
                <w:rFonts w:cs="Calibri"/>
                <w:color w:val="000000"/>
                <w:sz w:val="20"/>
                <w:szCs w:val="20"/>
              </w:rPr>
              <w:t>Agric/food</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2,134</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2,121</w:t>
            </w:r>
          </w:p>
        </w:tc>
        <w:tc>
          <w:tcPr>
            <w:tcW w:w="977"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2,843</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1,585</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2,093</w:t>
            </w:r>
          </w:p>
        </w:tc>
        <w:tc>
          <w:tcPr>
            <w:tcW w:w="977"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1,627</w:t>
            </w:r>
          </w:p>
        </w:tc>
      </w:tr>
      <w:tr w:rsidR="009B5E65" w:rsidRPr="00DC5804" w:rsidTr="00086A1F">
        <w:tc>
          <w:tcPr>
            <w:tcW w:w="1908" w:type="dxa"/>
          </w:tcPr>
          <w:p w:rsidR="009B5E65" w:rsidRPr="00DC5804" w:rsidRDefault="009B5E65" w:rsidP="00086A1F">
            <w:pPr>
              <w:autoSpaceDE w:val="0"/>
              <w:autoSpaceDN w:val="0"/>
              <w:adjustRightInd w:val="0"/>
              <w:rPr>
                <w:rFonts w:cs="Calibri"/>
                <w:color w:val="000000"/>
                <w:sz w:val="20"/>
                <w:szCs w:val="20"/>
              </w:rPr>
            </w:pPr>
            <w:r>
              <w:rPr>
                <w:rFonts w:cs="Calibri"/>
                <w:color w:val="000000"/>
                <w:sz w:val="20"/>
                <w:szCs w:val="20"/>
              </w:rPr>
              <w:t xml:space="preserve">      </w:t>
            </w:r>
            <w:r w:rsidRPr="00DC5804">
              <w:rPr>
                <w:rFonts w:cs="Calibri"/>
                <w:color w:val="000000"/>
                <w:sz w:val="20"/>
                <w:szCs w:val="20"/>
              </w:rPr>
              <w:t>Crude oil</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2,575</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3,153</w:t>
            </w:r>
          </w:p>
        </w:tc>
        <w:tc>
          <w:tcPr>
            <w:tcW w:w="977"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4,041</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3,358</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3,991</w:t>
            </w:r>
          </w:p>
        </w:tc>
        <w:tc>
          <w:tcPr>
            <w:tcW w:w="977"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4,178</w:t>
            </w:r>
          </w:p>
        </w:tc>
      </w:tr>
      <w:tr w:rsidR="009B5E65" w:rsidRPr="00DC5804" w:rsidTr="00086A1F">
        <w:tc>
          <w:tcPr>
            <w:tcW w:w="1908" w:type="dxa"/>
          </w:tcPr>
          <w:p w:rsidR="009B5E65" w:rsidRPr="00DC5804" w:rsidRDefault="009B5E65" w:rsidP="00086A1F">
            <w:pPr>
              <w:autoSpaceDE w:val="0"/>
              <w:autoSpaceDN w:val="0"/>
              <w:adjustRightInd w:val="0"/>
              <w:rPr>
                <w:rFonts w:cs="Calibri"/>
                <w:color w:val="000000"/>
                <w:sz w:val="20"/>
                <w:szCs w:val="20"/>
              </w:rPr>
            </w:pPr>
            <w:r>
              <w:rPr>
                <w:rFonts w:cs="Calibri"/>
                <w:color w:val="000000"/>
                <w:sz w:val="20"/>
                <w:szCs w:val="20"/>
              </w:rPr>
              <w:t xml:space="preserve">      </w:t>
            </w:r>
            <w:r w:rsidRPr="00DC5804">
              <w:rPr>
                <w:rFonts w:cs="Calibri"/>
                <w:color w:val="000000"/>
                <w:sz w:val="20"/>
                <w:szCs w:val="20"/>
              </w:rPr>
              <w:t>Textiles/clothing</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2,080</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2,468</w:t>
            </w:r>
          </w:p>
        </w:tc>
        <w:tc>
          <w:tcPr>
            <w:tcW w:w="977"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3,499</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2,220</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4,122</w:t>
            </w:r>
          </w:p>
        </w:tc>
        <w:tc>
          <w:tcPr>
            <w:tcW w:w="977"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3,262</w:t>
            </w:r>
          </w:p>
        </w:tc>
      </w:tr>
      <w:tr w:rsidR="009B5E65" w:rsidRPr="00DC5804" w:rsidTr="00086A1F">
        <w:tc>
          <w:tcPr>
            <w:tcW w:w="1908" w:type="dxa"/>
          </w:tcPr>
          <w:p w:rsidR="009B5E65" w:rsidRPr="00DC5804" w:rsidRDefault="009B5E65" w:rsidP="00086A1F">
            <w:pPr>
              <w:autoSpaceDE w:val="0"/>
              <w:autoSpaceDN w:val="0"/>
              <w:adjustRightInd w:val="0"/>
              <w:rPr>
                <w:rFonts w:cs="Calibri"/>
                <w:color w:val="000000"/>
                <w:sz w:val="20"/>
                <w:szCs w:val="20"/>
              </w:rPr>
            </w:pPr>
            <w:r>
              <w:rPr>
                <w:rFonts w:cs="Calibri"/>
                <w:color w:val="000000"/>
                <w:sz w:val="20"/>
                <w:szCs w:val="20"/>
              </w:rPr>
              <w:t xml:space="preserve">      </w:t>
            </w:r>
            <w:r w:rsidRPr="00DC5804">
              <w:rPr>
                <w:rFonts w:cs="Calibri"/>
                <w:color w:val="000000"/>
                <w:sz w:val="20"/>
                <w:szCs w:val="20"/>
              </w:rPr>
              <w:t>Other</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3,366</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4,367</w:t>
            </w:r>
          </w:p>
        </w:tc>
        <w:tc>
          <w:tcPr>
            <w:tcW w:w="977"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6,732</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7,820</w:t>
            </w:r>
          </w:p>
        </w:tc>
        <w:tc>
          <w:tcPr>
            <w:tcW w:w="976"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5,491</w:t>
            </w:r>
          </w:p>
        </w:tc>
        <w:tc>
          <w:tcPr>
            <w:tcW w:w="977" w:type="dxa"/>
          </w:tcPr>
          <w:p w:rsidR="009B5E65" w:rsidRPr="00473CC9" w:rsidRDefault="009B5E65" w:rsidP="00086A1F">
            <w:pPr>
              <w:autoSpaceDE w:val="0"/>
              <w:autoSpaceDN w:val="0"/>
              <w:adjustRightInd w:val="0"/>
              <w:jc w:val="right"/>
              <w:rPr>
                <w:rFonts w:ascii="Calibri" w:hAnsi="Calibri" w:cs="Calibri"/>
                <w:color w:val="000000"/>
                <w:sz w:val="20"/>
              </w:rPr>
            </w:pPr>
            <w:r w:rsidRPr="00473CC9">
              <w:rPr>
                <w:rFonts w:ascii="Calibri" w:hAnsi="Calibri" w:cs="Calibri"/>
                <w:color w:val="000000"/>
                <w:sz w:val="20"/>
              </w:rPr>
              <w:t>6,685</w:t>
            </w:r>
          </w:p>
        </w:tc>
      </w:tr>
      <w:tr w:rsidR="009B5E65" w:rsidRPr="00DC5804" w:rsidTr="00086A1F">
        <w:trPr>
          <w:trHeight w:hRule="exact" w:val="115"/>
        </w:trPr>
        <w:tc>
          <w:tcPr>
            <w:tcW w:w="1908" w:type="dxa"/>
          </w:tcPr>
          <w:p w:rsidR="009B5E65" w:rsidRPr="00DC5804" w:rsidRDefault="009B5E65" w:rsidP="00086A1F">
            <w:pPr>
              <w:autoSpaceDE w:val="0"/>
              <w:autoSpaceDN w:val="0"/>
              <w:adjustRightInd w:val="0"/>
              <w:rPr>
                <w:rFonts w:cs="Calibri"/>
                <w:color w:val="000000"/>
                <w:sz w:val="20"/>
                <w:szCs w:val="20"/>
              </w:rPr>
            </w:pPr>
          </w:p>
        </w:tc>
        <w:tc>
          <w:tcPr>
            <w:tcW w:w="976" w:type="dxa"/>
          </w:tcPr>
          <w:p w:rsidR="009B5E65" w:rsidRPr="00DC5804" w:rsidRDefault="009B5E65" w:rsidP="00086A1F">
            <w:pPr>
              <w:autoSpaceDE w:val="0"/>
              <w:autoSpaceDN w:val="0"/>
              <w:adjustRightInd w:val="0"/>
              <w:jc w:val="right"/>
              <w:rPr>
                <w:rFonts w:cs="Calibri"/>
                <w:color w:val="000000"/>
                <w:sz w:val="20"/>
                <w:szCs w:val="20"/>
              </w:rPr>
            </w:pPr>
          </w:p>
        </w:tc>
        <w:tc>
          <w:tcPr>
            <w:tcW w:w="976" w:type="dxa"/>
          </w:tcPr>
          <w:p w:rsidR="009B5E65" w:rsidRPr="00DC5804" w:rsidRDefault="009B5E65" w:rsidP="00086A1F">
            <w:pPr>
              <w:autoSpaceDE w:val="0"/>
              <w:autoSpaceDN w:val="0"/>
              <w:adjustRightInd w:val="0"/>
              <w:jc w:val="right"/>
              <w:rPr>
                <w:rFonts w:cs="Calibri"/>
                <w:color w:val="000000"/>
                <w:sz w:val="20"/>
                <w:szCs w:val="20"/>
              </w:rPr>
            </w:pPr>
          </w:p>
        </w:tc>
        <w:tc>
          <w:tcPr>
            <w:tcW w:w="977" w:type="dxa"/>
          </w:tcPr>
          <w:p w:rsidR="009B5E65" w:rsidRPr="00DC5804" w:rsidRDefault="009B5E65" w:rsidP="00086A1F">
            <w:pPr>
              <w:autoSpaceDE w:val="0"/>
              <w:autoSpaceDN w:val="0"/>
              <w:adjustRightInd w:val="0"/>
              <w:jc w:val="right"/>
              <w:rPr>
                <w:rFonts w:cs="Calibri"/>
                <w:color w:val="000000"/>
                <w:sz w:val="20"/>
                <w:szCs w:val="20"/>
              </w:rPr>
            </w:pPr>
          </w:p>
        </w:tc>
        <w:tc>
          <w:tcPr>
            <w:tcW w:w="976" w:type="dxa"/>
          </w:tcPr>
          <w:p w:rsidR="009B5E65" w:rsidRPr="00DC5804" w:rsidRDefault="009B5E65" w:rsidP="00086A1F">
            <w:pPr>
              <w:autoSpaceDE w:val="0"/>
              <w:autoSpaceDN w:val="0"/>
              <w:adjustRightInd w:val="0"/>
              <w:jc w:val="right"/>
              <w:rPr>
                <w:rFonts w:cs="Calibri"/>
                <w:color w:val="000000"/>
                <w:sz w:val="20"/>
                <w:szCs w:val="20"/>
              </w:rPr>
            </w:pPr>
          </w:p>
        </w:tc>
        <w:tc>
          <w:tcPr>
            <w:tcW w:w="976" w:type="dxa"/>
          </w:tcPr>
          <w:p w:rsidR="009B5E65" w:rsidRPr="00DC5804" w:rsidRDefault="009B5E65" w:rsidP="00086A1F">
            <w:pPr>
              <w:autoSpaceDE w:val="0"/>
              <w:autoSpaceDN w:val="0"/>
              <w:adjustRightInd w:val="0"/>
              <w:jc w:val="right"/>
              <w:rPr>
                <w:rFonts w:cs="Calibri"/>
                <w:color w:val="000000"/>
                <w:sz w:val="20"/>
                <w:szCs w:val="20"/>
              </w:rPr>
            </w:pPr>
          </w:p>
        </w:tc>
        <w:tc>
          <w:tcPr>
            <w:tcW w:w="977" w:type="dxa"/>
          </w:tcPr>
          <w:p w:rsidR="009B5E65" w:rsidRPr="00DC5804" w:rsidRDefault="009B5E65" w:rsidP="00086A1F">
            <w:pPr>
              <w:autoSpaceDE w:val="0"/>
              <w:autoSpaceDN w:val="0"/>
              <w:adjustRightInd w:val="0"/>
              <w:jc w:val="right"/>
              <w:rPr>
                <w:rFonts w:cs="Calibri"/>
                <w:color w:val="000000"/>
                <w:sz w:val="20"/>
                <w:szCs w:val="20"/>
              </w:rPr>
            </w:pPr>
          </w:p>
        </w:tc>
      </w:tr>
    </w:tbl>
    <w:p w:rsidR="009B5E65" w:rsidRPr="005D7983" w:rsidRDefault="009B5E65" w:rsidP="009B5E65">
      <w:pPr>
        <w:spacing w:after="0" w:line="240" w:lineRule="auto"/>
        <w:rPr>
          <w:sz w:val="20"/>
        </w:rPr>
      </w:pPr>
      <w:r>
        <w:rPr>
          <w:sz w:val="20"/>
        </w:rPr>
        <w:t xml:space="preserve">Source: </w:t>
      </w:r>
      <w:r>
        <w:rPr>
          <w:sz w:val="20"/>
        </w:rPr>
        <w:tab/>
        <w:t>Authors' calculations using General Statistical Office (GSO, 2009a and 2009b).</w:t>
      </w:r>
    </w:p>
    <w:p w:rsidR="009B5E65" w:rsidRDefault="009B5E65" w:rsidP="009B5E65">
      <w:pPr>
        <w:spacing w:after="0" w:line="240" w:lineRule="auto"/>
      </w:pPr>
    </w:p>
    <w:p w:rsidR="009B5E65" w:rsidRDefault="009B5E65" w:rsidP="009B5E65">
      <w:pPr>
        <w:spacing w:after="0" w:line="240" w:lineRule="auto"/>
      </w:pPr>
    </w:p>
    <w:p w:rsidR="009B5E65" w:rsidRDefault="009B5E65" w:rsidP="009B5E65">
      <w:pPr>
        <w:spacing w:after="0" w:line="240" w:lineRule="auto"/>
      </w:pPr>
    </w:p>
    <w:p w:rsidR="009B5E65" w:rsidRDefault="009B5E65" w:rsidP="009B5E65">
      <w:pPr>
        <w:spacing w:after="0" w:line="240" w:lineRule="auto"/>
      </w:pPr>
    </w:p>
    <w:p w:rsidR="009B5E65" w:rsidRDefault="009B5E65" w:rsidP="009B5E65">
      <w:pPr>
        <w:spacing w:after="0" w:line="240" w:lineRule="auto"/>
      </w:pPr>
    </w:p>
    <w:p w:rsidR="009B5E65" w:rsidRDefault="009B5E65" w:rsidP="009B5E65">
      <w:pPr>
        <w:spacing w:after="0" w:line="240" w:lineRule="auto"/>
      </w:pPr>
      <w:r>
        <w:t>Table 3: Vietnam’s proposed stimulus package (January 2009)</w:t>
      </w:r>
    </w:p>
    <w:tbl>
      <w:tblPr>
        <w:tblStyle w:val="TableGrid"/>
        <w:tblW w:w="0" w:type="auto"/>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4608"/>
        <w:gridCol w:w="1170"/>
      </w:tblGrid>
      <w:tr w:rsidR="009B5E65" w:rsidRPr="00E15BDA" w:rsidTr="00086A1F">
        <w:tc>
          <w:tcPr>
            <w:tcW w:w="4608" w:type="dxa"/>
            <w:tcBorders>
              <w:top w:val="single" w:sz="4" w:space="0" w:color="auto"/>
              <w:bottom w:val="single" w:sz="4" w:space="0" w:color="auto"/>
            </w:tcBorders>
          </w:tcPr>
          <w:p w:rsidR="009B5E65" w:rsidRPr="00E15BDA" w:rsidRDefault="009B5E65" w:rsidP="00086A1F">
            <w:pPr>
              <w:rPr>
                <w:sz w:val="20"/>
              </w:rPr>
            </w:pPr>
          </w:p>
        </w:tc>
        <w:tc>
          <w:tcPr>
            <w:tcW w:w="1170" w:type="dxa"/>
            <w:tcBorders>
              <w:top w:val="single" w:sz="4" w:space="0" w:color="auto"/>
              <w:bottom w:val="single" w:sz="4" w:space="0" w:color="auto"/>
            </w:tcBorders>
          </w:tcPr>
          <w:p w:rsidR="009B5E65" w:rsidRPr="00E15BDA" w:rsidRDefault="009B5E65" w:rsidP="00086A1F">
            <w:pPr>
              <w:jc w:val="right"/>
              <w:rPr>
                <w:sz w:val="20"/>
              </w:rPr>
            </w:pPr>
            <w:r>
              <w:rPr>
                <w:sz w:val="20"/>
              </w:rPr>
              <w:t>US$ billion</w:t>
            </w:r>
          </w:p>
        </w:tc>
      </w:tr>
      <w:tr w:rsidR="009B5E65" w:rsidRPr="00E15BDA" w:rsidTr="00086A1F">
        <w:trPr>
          <w:trHeight w:hRule="exact" w:val="115"/>
        </w:trPr>
        <w:tc>
          <w:tcPr>
            <w:tcW w:w="4608" w:type="dxa"/>
            <w:tcBorders>
              <w:top w:val="single" w:sz="4" w:space="0" w:color="auto"/>
            </w:tcBorders>
          </w:tcPr>
          <w:p w:rsidR="009B5E65" w:rsidRPr="00E15BDA" w:rsidRDefault="009B5E65" w:rsidP="00086A1F">
            <w:pPr>
              <w:rPr>
                <w:sz w:val="20"/>
              </w:rPr>
            </w:pPr>
          </w:p>
        </w:tc>
        <w:tc>
          <w:tcPr>
            <w:tcW w:w="1170" w:type="dxa"/>
            <w:tcBorders>
              <w:top w:val="single" w:sz="4" w:space="0" w:color="auto"/>
            </w:tcBorders>
          </w:tcPr>
          <w:p w:rsidR="009B5E65" w:rsidRPr="00E15BDA" w:rsidRDefault="009B5E65" w:rsidP="00086A1F">
            <w:pPr>
              <w:rPr>
                <w:sz w:val="20"/>
              </w:rPr>
            </w:pPr>
          </w:p>
        </w:tc>
      </w:tr>
      <w:tr w:rsidR="009B5E65" w:rsidRPr="00E15BDA" w:rsidTr="00086A1F">
        <w:tc>
          <w:tcPr>
            <w:tcW w:w="4608" w:type="dxa"/>
          </w:tcPr>
          <w:p w:rsidR="009B5E65" w:rsidRPr="00E15BDA" w:rsidRDefault="009B5E65" w:rsidP="00086A1F">
            <w:pPr>
              <w:rPr>
                <w:sz w:val="20"/>
              </w:rPr>
            </w:pPr>
            <w:r w:rsidRPr="00E15BDA">
              <w:rPr>
                <w:sz w:val="20"/>
              </w:rPr>
              <w:t>Total</w:t>
            </w:r>
            <w:r>
              <w:rPr>
                <w:sz w:val="20"/>
              </w:rPr>
              <w:t xml:space="preserve"> proposed cost</w:t>
            </w:r>
          </w:p>
        </w:tc>
        <w:tc>
          <w:tcPr>
            <w:tcW w:w="1170" w:type="dxa"/>
          </w:tcPr>
          <w:p w:rsidR="009B5E65" w:rsidRPr="00E15BDA" w:rsidRDefault="009B5E65" w:rsidP="00086A1F">
            <w:pPr>
              <w:jc w:val="right"/>
              <w:rPr>
                <w:sz w:val="20"/>
              </w:rPr>
            </w:pPr>
            <w:r w:rsidRPr="00E15BDA">
              <w:rPr>
                <w:sz w:val="20"/>
              </w:rPr>
              <w:t>8.6</w:t>
            </w:r>
          </w:p>
        </w:tc>
      </w:tr>
      <w:tr w:rsidR="009B5E65" w:rsidRPr="00E15BDA" w:rsidTr="00086A1F">
        <w:tc>
          <w:tcPr>
            <w:tcW w:w="4608" w:type="dxa"/>
          </w:tcPr>
          <w:p w:rsidR="009B5E65" w:rsidRPr="00E15BDA" w:rsidRDefault="009B5E65" w:rsidP="00086A1F">
            <w:pPr>
              <w:rPr>
                <w:sz w:val="20"/>
              </w:rPr>
            </w:pPr>
            <w:r>
              <w:rPr>
                <w:sz w:val="20"/>
              </w:rPr>
              <w:t xml:space="preserve">   </w:t>
            </w:r>
            <w:r w:rsidRPr="00E15BDA">
              <w:rPr>
                <w:sz w:val="20"/>
              </w:rPr>
              <w:t>Interest support</w:t>
            </w:r>
          </w:p>
        </w:tc>
        <w:tc>
          <w:tcPr>
            <w:tcW w:w="1170" w:type="dxa"/>
          </w:tcPr>
          <w:p w:rsidR="009B5E65" w:rsidRPr="00E15BDA" w:rsidRDefault="009B5E65" w:rsidP="00086A1F">
            <w:pPr>
              <w:jc w:val="right"/>
              <w:rPr>
                <w:sz w:val="20"/>
              </w:rPr>
            </w:pPr>
            <w:r w:rsidRPr="00E15BDA">
              <w:rPr>
                <w:sz w:val="20"/>
              </w:rPr>
              <w:t>1</w:t>
            </w:r>
            <w:r>
              <w:rPr>
                <w:sz w:val="20"/>
              </w:rPr>
              <w:t>.0</w:t>
            </w:r>
          </w:p>
        </w:tc>
      </w:tr>
      <w:tr w:rsidR="009B5E65" w:rsidRPr="00E15BDA" w:rsidTr="00086A1F">
        <w:tc>
          <w:tcPr>
            <w:tcW w:w="4608" w:type="dxa"/>
          </w:tcPr>
          <w:p w:rsidR="009B5E65" w:rsidRPr="00E15BDA" w:rsidRDefault="009B5E65" w:rsidP="00086A1F">
            <w:pPr>
              <w:rPr>
                <w:sz w:val="20"/>
              </w:rPr>
            </w:pPr>
            <w:r>
              <w:rPr>
                <w:sz w:val="20"/>
              </w:rPr>
              <w:t xml:space="preserve">   </w:t>
            </w:r>
            <w:r w:rsidRPr="00E15BDA">
              <w:rPr>
                <w:sz w:val="20"/>
              </w:rPr>
              <w:t>Delayed payback for construction capital in 2009</w:t>
            </w:r>
          </w:p>
        </w:tc>
        <w:tc>
          <w:tcPr>
            <w:tcW w:w="1170" w:type="dxa"/>
          </w:tcPr>
          <w:p w:rsidR="009B5E65" w:rsidRPr="00E15BDA" w:rsidRDefault="009B5E65" w:rsidP="00086A1F">
            <w:pPr>
              <w:jc w:val="right"/>
              <w:rPr>
                <w:sz w:val="20"/>
              </w:rPr>
            </w:pPr>
            <w:r w:rsidRPr="00E15BDA">
              <w:rPr>
                <w:sz w:val="20"/>
              </w:rPr>
              <w:t>0.2</w:t>
            </w:r>
          </w:p>
        </w:tc>
      </w:tr>
      <w:tr w:rsidR="009B5E65" w:rsidRPr="00E15BDA" w:rsidTr="00086A1F">
        <w:tc>
          <w:tcPr>
            <w:tcW w:w="4608" w:type="dxa"/>
          </w:tcPr>
          <w:p w:rsidR="009B5E65" w:rsidRPr="00E15BDA" w:rsidRDefault="009B5E65" w:rsidP="00086A1F">
            <w:pPr>
              <w:rPr>
                <w:sz w:val="20"/>
              </w:rPr>
            </w:pPr>
            <w:r>
              <w:rPr>
                <w:sz w:val="20"/>
              </w:rPr>
              <w:t xml:space="preserve">   </w:t>
            </w:r>
            <w:r w:rsidRPr="00E15BDA">
              <w:rPr>
                <w:sz w:val="20"/>
              </w:rPr>
              <w:t>Advanced capital</w:t>
            </w:r>
            <w:r>
              <w:rPr>
                <w:sz w:val="20"/>
              </w:rPr>
              <w:t xml:space="preserve"> investment (from 2009/10)</w:t>
            </w:r>
          </w:p>
        </w:tc>
        <w:tc>
          <w:tcPr>
            <w:tcW w:w="1170" w:type="dxa"/>
          </w:tcPr>
          <w:p w:rsidR="009B5E65" w:rsidRPr="00E15BDA" w:rsidRDefault="009B5E65" w:rsidP="00086A1F">
            <w:pPr>
              <w:jc w:val="right"/>
              <w:rPr>
                <w:sz w:val="20"/>
              </w:rPr>
            </w:pPr>
            <w:r w:rsidRPr="00E15BDA">
              <w:rPr>
                <w:sz w:val="20"/>
              </w:rPr>
              <w:t>2.2</w:t>
            </w:r>
          </w:p>
        </w:tc>
      </w:tr>
      <w:tr w:rsidR="009B5E65" w:rsidRPr="00E15BDA" w:rsidTr="00086A1F">
        <w:tc>
          <w:tcPr>
            <w:tcW w:w="4608" w:type="dxa"/>
          </w:tcPr>
          <w:p w:rsidR="009B5E65" w:rsidRPr="00E15BDA" w:rsidRDefault="009B5E65" w:rsidP="00086A1F">
            <w:pPr>
              <w:rPr>
                <w:sz w:val="20"/>
              </w:rPr>
            </w:pPr>
            <w:r>
              <w:rPr>
                <w:sz w:val="20"/>
              </w:rPr>
              <w:t xml:space="preserve">   </w:t>
            </w:r>
            <w:r w:rsidRPr="00E15BDA">
              <w:rPr>
                <w:sz w:val="20"/>
              </w:rPr>
              <w:t xml:space="preserve">Transfer planned investment capital </w:t>
            </w:r>
            <w:r>
              <w:rPr>
                <w:sz w:val="20"/>
              </w:rPr>
              <w:t>(</w:t>
            </w:r>
            <w:r w:rsidRPr="00E15BDA">
              <w:rPr>
                <w:sz w:val="20"/>
              </w:rPr>
              <w:t>2008 to 2009</w:t>
            </w:r>
            <w:r>
              <w:rPr>
                <w:sz w:val="20"/>
              </w:rPr>
              <w:t>)</w:t>
            </w:r>
          </w:p>
        </w:tc>
        <w:tc>
          <w:tcPr>
            <w:tcW w:w="1170" w:type="dxa"/>
          </w:tcPr>
          <w:p w:rsidR="009B5E65" w:rsidRPr="00E15BDA" w:rsidRDefault="009B5E65" w:rsidP="00086A1F">
            <w:pPr>
              <w:jc w:val="right"/>
              <w:rPr>
                <w:sz w:val="20"/>
              </w:rPr>
            </w:pPr>
            <w:r w:rsidRPr="00E15BDA">
              <w:rPr>
                <w:sz w:val="20"/>
              </w:rPr>
              <w:t>1.8</w:t>
            </w:r>
          </w:p>
        </w:tc>
      </w:tr>
      <w:tr w:rsidR="009B5E65" w:rsidRPr="00E15BDA" w:rsidTr="00086A1F">
        <w:tc>
          <w:tcPr>
            <w:tcW w:w="4608" w:type="dxa"/>
          </w:tcPr>
          <w:p w:rsidR="009B5E65" w:rsidRPr="00E15BDA" w:rsidRDefault="009B5E65" w:rsidP="00086A1F">
            <w:pPr>
              <w:rPr>
                <w:sz w:val="20"/>
              </w:rPr>
            </w:pPr>
            <w:r>
              <w:rPr>
                <w:sz w:val="20"/>
              </w:rPr>
              <w:t xml:space="preserve">   A</w:t>
            </w:r>
            <w:r w:rsidRPr="00E15BDA">
              <w:rPr>
                <w:sz w:val="20"/>
              </w:rPr>
              <w:t>dditional gov</w:t>
            </w:r>
            <w:r>
              <w:rPr>
                <w:sz w:val="20"/>
              </w:rPr>
              <w:t>ernment</w:t>
            </w:r>
            <w:r w:rsidRPr="00E15BDA">
              <w:rPr>
                <w:sz w:val="20"/>
              </w:rPr>
              <w:t xml:space="preserve"> bonds</w:t>
            </w:r>
          </w:p>
        </w:tc>
        <w:tc>
          <w:tcPr>
            <w:tcW w:w="1170" w:type="dxa"/>
          </w:tcPr>
          <w:p w:rsidR="009B5E65" w:rsidRPr="00E15BDA" w:rsidRDefault="009B5E65" w:rsidP="00086A1F">
            <w:pPr>
              <w:jc w:val="right"/>
              <w:rPr>
                <w:sz w:val="20"/>
              </w:rPr>
            </w:pPr>
            <w:r w:rsidRPr="00E15BDA">
              <w:rPr>
                <w:sz w:val="20"/>
              </w:rPr>
              <w:t>1.2</w:t>
            </w:r>
          </w:p>
        </w:tc>
      </w:tr>
      <w:tr w:rsidR="009B5E65" w:rsidRPr="00E15BDA" w:rsidTr="00086A1F">
        <w:tc>
          <w:tcPr>
            <w:tcW w:w="4608" w:type="dxa"/>
          </w:tcPr>
          <w:p w:rsidR="009B5E65" w:rsidRPr="00E15BDA" w:rsidRDefault="009B5E65" w:rsidP="00086A1F">
            <w:pPr>
              <w:rPr>
                <w:sz w:val="20"/>
              </w:rPr>
            </w:pPr>
            <w:r>
              <w:rPr>
                <w:sz w:val="20"/>
              </w:rPr>
              <w:t xml:space="preserve">   </w:t>
            </w:r>
            <w:r w:rsidRPr="00E15BDA">
              <w:rPr>
                <w:sz w:val="20"/>
              </w:rPr>
              <w:t>Tax reduction</w:t>
            </w:r>
            <w:r>
              <w:rPr>
                <w:sz w:val="20"/>
              </w:rPr>
              <w:t xml:space="preserve"> </w:t>
            </w:r>
          </w:p>
        </w:tc>
        <w:tc>
          <w:tcPr>
            <w:tcW w:w="1170" w:type="dxa"/>
          </w:tcPr>
          <w:p w:rsidR="009B5E65" w:rsidRPr="00E15BDA" w:rsidRDefault="009B5E65" w:rsidP="00086A1F">
            <w:pPr>
              <w:jc w:val="right"/>
              <w:rPr>
                <w:sz w:val="20"/>
              </w:rPr>
            </w:pPr>
            <w:r w:rsidRPr="00E15BDA">
              <w:rPr>
                <w:sz w:val="20"/>
              </w:rPr>
              <w:t>1.6</w:t>
            </w:r>
          </w:p>
        </w:tc>
      </w:tr>
      <w:tr w:rsidR="009B5E65" w:rsidRPr="00E15BDA" w:rsidTr="00086A1F">
        <w:tc>
          <w:tcPr>
            <w:tcW w:w="4608" w:type="dxa"/>
          </w:tcPr>
          <w:p w:rsidR="009B5E65" w:rsidRPr="00E15BDA" w:rsidRDefault="009B5E65" w:rsidP="00086A1F">
            <w:pPr>
              <w:rPr>
                <w:sz w:val="20"/>
              </w:rPr>
            </w:pPr>
            <w:r>
              <w:rPr>
                <w:sz w:val="20"/>
              </w:rPr>
              <w:t xml:space="preserve">   </w:t>
            </w:r>
            <w:r w:rsidRPr="00E15BDA">
              <w:rPr>
                <w:sz w:val="20"/>
              </w:rPr>
              <w:t xml:space="preserve">Other </w:t>
            </w:r>
            <w:r>
              <w:rPr>
                <w:sz w:val="20"/>
              </w:rPr>
              <w:t>expenditures (</w:t>
            </w:r>
            <w:r w:rsidRPr="00E15BDA">
              <w:rPr>
                <w:sz w:val="20"/>
              </w:rPr>
              <w:t>including social safety</w:t>
            </w:r>
            <w:r>
              <w:rPr>
                <w:sz w:val="20"/>
              </w:rPr>
              <w:t>)</w:t>
            </w:r>
          </w:p>
        </w:tc>
        <w:tc>
          <w:tcPr>
            <w:tcW w:w="1170" w:type="dxa"/>
          </w:tcPr>
          <w:p w:rsidR="009B5E65" w:rsidRPr="00E15BDA" w:rsidRDefault="009B5E65" w:rsidP="00086A1F">
            <w:pPr>
              <w:jc w:val="right"/>
              <w:rPr>
                <w:sz w:val="20"/>
              </w:rPr>
            </w:pPr>
            <w:r w:rsidRPr="00E15BDA">
              <w:rPr>
                <w:sz w:val="20"/>
              </w:rPr>
              <w:t>0.6</w:t>
            </w:r>
          </w:p>
        </w:tc>
      </w:tr>
      <w:tr w:rsidR="009B5E65" w:rsidRPr="00E15BDA" w:rsidTr="00086A1F">
        <w:trPr>
          <w:trHeight w:hRule="exact" w:val="115"/>
        </w:trPr>
        <w:tc>
          <w:tcPr>
            <w:tcW w:w="4608" w:type="dxa"/>
          </w:tcPr>
          <w:p w:rsidR="009B5E65" w:rsidRPr="00E15BDA" w:rsidRDefault="009B5E65" w:rsidP="00086A1F">
            <w:pPr>
              <w:rPr>
                <w:sz w:val="20"/>
              </w:rPr>
            </w:pPr>
          </w:p>
        </w:tc>
        <w:tc>
          <w:tcPr>
            <w:tcW w:w="1170" w:type="dxa"/>
          </w:tcPr>
          <w:p w:rsidR="009B5E65" w:rsidRPr="00E15BDA" w:rsidRDefault="009B5E65" w:rsidP="00086A1F">
            <w:pPr>
              <w:rPr>
                <w:sz w:val="20"/>
              </w:rPr>
            </w:pPr>
          </w:p>
        </w:tc>
      </w:tr>
    </w:tbl>
    <w:p w:rsidR="007044D6" w:rsidRDefault="009B5E65" w:rsidP="007044D6">
      <w:pPr>
        <w:spacing w:after="0" w:line="240" w:lineRule="auto"/>
        <w:rPr>
          <w:sz w:val="20"/>
        </w:rPr>
      </w:pPr>
      <w:r>
        <w:rPr>
          <w:sz w:val="20"/>
        </w:rPr>
        <w:t>Source:</w:t>
      </w:r>
      <w:r>
        <w:rPr>
          <w:sz w:val="20"/>
        </w:rPr>
        <w:tab/>
      </w:r>
      <w:r w:rsidR="007E4A86" w:rsidRPr="007E4A86">
        <w:rPr>
          <w:sz w:val="20"/>
        </w:rPr>
        <w:t xml:space="preserve">Government </w:t>
      </w:r>
      <w:r w:rsidR="007044D6">
        <w:rPr>
          <w:sz w:val="20"/>
        </w:rPr>
        <w:t xml:space="preserve">of the </w:t>
      </w:r>
      <w:r w:rsidR="007E4A86" w:rsidRPr="007E4A86">
        <w:rPr>
          <w:sz w:val="20"/>
        </w:rPr>
        <w:t xml:space="preserve">National Assembly </w:t>
      </w:r>
      <w:r w:rsidR="007044D6">
        <w:rPr>
          <w:sz w:val="20"/>
        </w:rPr>
        <w:t>R</w:t>
      </w:r>
      <w:r w:rsidR="007E4A86" w:rsidRPr="007E4A86">
        <w:rPr>
          <w:sz w:val="20"/>
        </w:rPr>
        <w:t xml:space="preserve">eport 77/CP-KTTH </w:t>
      </w:r>
    </w:p>
    <w:p w:rsidR="009B5E65" w:rsidRPr="00E56E55" w:rsidRDefault="007E4A86" w:rsidP="007044D6">
      <w:pPr>
        <w:spacing w:after="0" w:line="240" w:lineRule="auto"/>
        <w:ind w:firstLine="720"/>
        <w:rPr>
          <w:sz w:val="20"/>
        </w:rPr>
      </w:pPr>
      <w:r>
        <w:rPr>
          <w:sz w:val="20"/>
        </w:rPr>
        <w:t>(</w:t>
      </w:r>
      <w:r w:rsidRPr="007E4A86">
        <w:rPr>
          <w:sz w:val="20"/>
        </w:rPr>
        <w:t>5 May 2009</w:t>
      </w:r>
      <w:r>
        <w:rPr>
          <w:sz w:val="20"/>
        </w:rPr>
        <w:t>).</w:t>
      </w:r>
    </w:p>
    <w:p w:rsidR="009B5E65" w:rsidRDefault="009B5E65" w:rsidP="009B5E65">
      <w:pPr>
        <w:spacing w:after="0" w:line="240" w:lineRule="auto"/>
      </w:pPr>
    </w:p>
    <w:p w:rsidR="009B5E65" w:rsidRDefault="009B5E65" w:rsidP="009B5E65">
      <w:pPr>
        <w:spacing w:after="0" w:line="240" w:lineRule="auto"/>
      </w:pPr>
    </w:p>
    <w:p w:rsidR="009B5E65" w:rsidRDefault="009B5E65" w:rsidP="009B5E65">
      <w:pPr>
        <w:spacing w:after="0" w:line="240" w:lineRule="auto"/>
      </w:pPr>
      <w:r>
        <w:t xml:space="preserve"> </w:t>
      </w:r>
    </w:p>
    <w:p w:rsidR="009B5E65" w:rsidRDefault="009B5E65" w:rsidP="009B5E65">
      <w:r>
        <w:br w:type="page"/>
      </w:r>
    </w:p>
    <w:p w:rsidR="009B5E65" w:rsidRDefault="009B5E65" w:rsidP="009B5E65">
      <w:pPr>
        <w:spacing w:after="0" w:line="240" w:lineRule="auto"/>
      </w:pPr>
      <w:r>
        <w:lastRenderedPageBreak/>
        <w:t xml:space="preserve">Table 4: Core model equations </w:t>
      </w:r>
    </w:p>
    <w:tbl>
      <w:tblPr>
        <w:tblW w:w="9270" w:type="dxa"/>
        <w:tblInd w:w="108" w:type="dxa"/>
        <w:tblBorders>
          <w:top w:val="single" w:sz="4" w:space="0" w:color="000000" w:themeColor="text1"/>
          <w:bottom w:val="single" w:sz="4" w:space="0" w:color="000000" w:themeColor="text1"/>
        </w:tblBorders>
        <w:tblLayout w:type="fixed"/>
        <w:tblLook w:val="04A0"/>
      </w:tblPr>
      <w:tblGrid>
        <w:gridCol w:w="360"/>
        <w:gridCol w:w="23"/>
        <w:gridCol w:w="1867"/>
        <w:gridCol w:w="540"/>
        <w:gridCol w:w="1710"/>
        <w:gridCol w:w="450"/>
        <w:gridCol w:w="1800"/>
        <w:gridCol w:w="1890"/>
        <w:gridCol w:w="630"/>
      </w:tblGrid>
      <w:tr w:rsidR="009B5E65" w:rsidRPr="00BB45CE" w:rsidTr="00086A1F">
        <w:trPr>
          <w:trHeight w:val="576"/>
        </w:trPr>
        <w:tc>
          <w:tcPr>
            <w:tcW w:w="2790" w:type="dxa"/>
            <w:gridSpan w:val="4"/>
            <w:vAlign w:val="center"/>
          </w:tcPr>
          <w:p w:rsidR="009B5E65" w:rsidRPr="00BB45CE" w:rsidRDefault="009B5E65" w:rsidP="00086A1F">
            <w:pPr>
              <w:spacing w:after="0" w:line="240" w:lineRule="auto"/>
              <w:rPr>
                <w:sz w:val="20"/>
                <w:szCs w:val="20"/>
              </w:rPr>
            </w:pPr>
            <w:r w:rsidRPr="00BB45CE">
              <w:rPr>
                <w:sz w:val="20"/>
                <w:szCs w:val="20"/>
              </w:rPr>
              <w:t>Production function</w:t>
            </w:r>
          </w:p>
        </w:tc>
        <w:tc>
          <w:tcPr>
            <w:tcW w:w="5850" w:type="dxa"/>
            <w:gridSpan w:val="4"/>
            <w:vAlign w:val="center"/>
          </w:tcPr>
          <w:p w:rsidR="009B5E65" w:rsidRPr="00BB45CE" w:rsidRDefault="00062AE1" w:rsidP="00086A1F">
            <w:pPr>
              <w:spacing w:after="0" w:line="240" w:lineRule="auto"/>
              <w:rPr>
                <w:sz w:val="20"/>
                <w:szCs w:val="20"/>
              </w:rPr>
            </w:pPr>
            <m:oMath>
              <m:sSub>
                <m:sSubPr>
                  <m:ctrlPr>
                    <w:rPr>
                      <w:rFonts w:ascii="Cambria Math" w:eastAsia="Calibri" w:hAnsi="Calibri" w:cs="Times New Roman"/>
                      <w:i/>
                      <w:sz w:val="20"/>
                      <w:szCs w:val="20"/>
                    </w:rPr>
                  </m:ctrlPr>
                </m:sSubPr>
                <m:e>
                  <m:r>
                    <w:rPr>
                      <w:rFonts w:ascii="Cambria Math" w:hAnsi="Cambria Math"/>
                      <w:sz w:val="20"/>
                      <w:szCs w:val="20"/>
                    </w:rPr>
                    <m:t>Q</m:t>
                  </m:r>
                  <m:ctrlPr>
                    <w:rPr>
                      <w:rFonts w:ascii="Cambria Math" w:hAnsi="Calibri"/>
                      <w:i/>
                      <w:sz w:val="20"/>
                      <w:szCs w:val="20"/>
                    </w:rPr>
                  </m:ctrlPr>
                </m:e>
                <m:sub>
                  <m:r>
                    <w:rPr>
                      <w:rFonts w:ascii="Cambria Math" w:hAnsi="Cambria Math"/>
                      <w:sz w:val="20"/>
                      <w:szCs w:val="20"/>
                    </w:rPr>
                    <m:t>ct</m:t>
                  </m:r>
                  <m:ctrlPr>
                    <w:rPr>
                      <w:rFonts w:ascii="Cambria Math" w:hAnsi="Calibri"/>
                      <w:i/>
                      <w:sz w:val="20"/>
                      <w:szCs w:val="20"/>
                    </w:rPr>
                  </m:ctrlPr>
                </m:sub>
              </m:sSub>
              <m:r>
                <w:rPr>
                  <w:rFonts w:ascii="Cambria Math" w:hAnsi="Calibri"/>
                  <w:sz w:val="20"/>
                  <w:szCs w:val="20"/>
                </w:rPr>
                <m:t>=</m:t>
              </m:r>
              <m:sSub>
                <m:sSubPr>
                  <m:ctrlPr>
                    <w:rPr>
                      <w:rFonts w:ascii="Cambria Math" w:hAnsi="Calibri"/>
                      <w:i/>
                      <w:sz w:val="20"/>
                      <w:szCs w:val="20"/>
                    </w:rPr>
                  </m:ctrlPr>
                </m:sSubPr>
                <m:e>
                  <m:r>
                    <w:rPr>
                      <w:rFonts w:ascii="Cambria Math" w:hAnsi="Cambria Math"/>
                      <w:sz w:val="20"/>
                      <w:szCs w:val="20"/>
                    </w:rPr>
                    <m:t>α</m:t>
                  </m:r>
                </m:e>
                <m:sub>
                  <m:r>
                    <w:rPr>
                      <w:rFonts w:ascii="Cambria Math" w:hAnsi="Cambria Math"/>
                      <w:sz w:val="20"/>
                      <w:szCs w:val="20"/>
                    </w:rPr>
                    <m:t>ct</m:t>
                  </m:r>
                </m:sub>
              </m:sSub>
              <m:r>
                <w:rPr>
                  <w:rFonts w:ascii="Cambria Math" w:eastAsia="Times New Roman" w:hAnsi="Calibri"/>
                  <w:sz w:val="20"/>
                  <w:szCs w:val="20"/>
                </w:rPr>
                <m:t>∙</m:t>
              </m:r>
              <m:nary>
                <m:naryPr>
                  <m:chr m:val="∏"/>
                  <m:limLoc m:val="subSup"/>
                  <m:supHide m:val="on"/>
                  <m:ctrlPr>
                    <w:rPr>
                      <w:rFonts w:ascii="Cambria Math" w:hAnsi="Calibri"/>
                      <w:i/>
                      <w:sz w:val="20"/>
                      <w:szCs w:val="20"/>
                    </w:rPr>
                  </m:ctrlPr>
                </m:naryPr>
                <m:sub>
                  <m:r>
                    <w:rPr>
                      <w:rFonts w:ascii="Cambria Math" w:hAnsi="Cambria Math"/>
                      <w:sz w:val="20"/>
                      <w:szCs w:val="20"/>
                    </w:rPr>
                    <m:t>f</m:t>
                  </m:r>
                </m:sub>
                <m:sup/>
                <m:e>
                  <m:sSubSup>
                    <m:sSubSupPr>
                      <m:ctrlPr>
                        <w:rPr>
                          <w:rFonts w:ascii="Cambria Math" w:hAnsi="Calibri"/>
                          <w:i/>
                          <w:sz w:val="20"/>
                          <w:szCs w:val="20"/>
                        </w:rPr>
                      </m:ctrlPr>
                    </m:sSubSupPr>
                    <m:e>
                      <m:r>
                        <w:rPr>
                          <w:rFonts w:ascii="Cambria Math" w:hAnsi="Cambria Math"/>
                          <w:sz w:val="20"/>
                          <w:szCs w:val="20"/>
                        </w:rPr>
                        <m:t>F</m:t>
                      </m:r>
                    </m:e>
                    <m:sub>
                      <m:r>
                        <w:rPr>
                          <w:rFonts w:ascii="Cambria Math" w:hAnsi="Cambria Math"/>
                          <w:sz w:val="20"/>
                          <w:szCs w:val="20"/>
                        </w:rPr>
                        <m:t>fct</m:t>
                      </m:r>
                    </m:sub>
                    <m:sup>
                      <m:sSub>
                        <m:sSubPr>
                          <m:ctrlPr>
                            <w:rPr>
                              <w:rFonts w:ascii="Cambria Math" w:hAnsi="Calibri"/>
                              <w:i/>
                              <w:sz w:val="20"/>
                              <w:szCs w:val="20"/>
                            </w:rPr>
                          </m:ctrlPr>
                        </m:sSubPr>
                        <m:e>
                          <m:r>
                            <w:rPr>
                              <w:rFonts w:ascii="Cambria Math" w:hAnsi="Cambria Math"/>
                              <w:sz w:val="20"/>
                              <w:szCs w:val="20"/>
                            </w:rPr>
                            <m:t>δ</m:t>
                          </m:r>
                        </m:e>
                        <m:sub>
                          <m:r>
                            <w:rPr>
                              <w:rFonts w:ascii="Cambria Math" w:hAnsi="Cambria Math"/>
                              <w:sz w:val="20"/>
                              <w:szCs w:val="20"/>
                            </w:rPr>
                            <m:t>fc</m:t>
                          </m:r>
                        </m:sub>
                      </m:sSub>
                    </m:sup>
                  </m:sSubSup>
                </m:e>
              </m:nary>
            </m:oMath>
            <w:r w:rsidR="009B5E65" w:rsidRPr="00BB45CE">
              <w:rPr>
                <w:sz w:val="20"/>
                <w:szCs w:val="20"/>
              </w:rPr>
              <w:t xml:space="preserve">     </w:t>
            </w:r>
          </w:p>
        </w:tc>
        <w:tc>
          <w:tcPr>
            <w:tcW w:w="630" w:type="dxa"/>
            <w:vAlign w:val="center"/>
          </w:tcPr>
          <w:p w:rsidR="009B5E65" w:rsidRPr="00BB45CE" w:rsidRDefault="009B5E65" w:rsidP="00086A1F">
            <w:pPr>
              <w:spacing w:after="0" w:line="240" w:lineRule="auto"/>
              <w:jc w:val="center"/>
              <w:rPr>
                <w:sz w:val="20"/>
                <w:szCs w:val="20"/>
              </w:rPr>
            </w:pPr>
            <w:r w:rsidRPr="00BB45CE">
              <w:rPr>
                <w:sz w:val="20"/>
                <w:szCs w:val="20"/>
              </w:rPr>
              <w:t>(1)</w:t>
            </w:r>
          </w:p>
        </w:tc>
      </w:tr>
      <w:tr w:rsidR="009B5E65" w:rsidRPr="00BB45CE" w:rsidTr="00086A1F">
        <w:trPr>
          <w:trHeight w:val="576"/>
        </w:trPr>
        <w:tc>
          <w:tcPr>
            <w:tcW w:w="2790" w:type="dxa"/>
            <w:gridSpan w:val="4"/>
            <w:vAlign w:val="center"/>
          </w:tcPr>
          <w:p w:rsidR="009B5E65" w:rsidRPr="00BB45CE" w:rsidRDefault="009B5E65" w:rsidP="00086A1F">
            <w:pPr>
              <w:spacing w:after="0" w:line="240" w:lineRule="auto"/>
              <w:rPr>
                <w:sz w:val="20"/>
                <w:szCs w:val="20"/>
              </w:rPr>
            </w:pPr>
            <w:r w:rsidRPr="00BB45CE">
              <w:rPr>
                <w:sz w:val="20"/>
                <w:szCs w:val="20"/>
              </w:rPr>
              <w:t>Factor payments</w:t>
            </w:r>
          </w:p>
        </w:tc>
        <w:tc>
          <w:tcPr>
            <w:tcW w:w="5850" w:type="dxa"/>
            <w:gridSpan w:val="4"/>
            <w:vAlign w:val="center"/>
          </w:tcPr>
          <w:p w:rsidR="009B5E65" w:rsidRPr="00BB45CE" w:rsidRDefault="00062AE1" w:rsidP="00086A1F">
            <w:pPr>
              <w:spacing w:after="0" w:line="240" w:lineRule="auto"/>
              <w:rPr>
                <w:sz w:val="20"/>
                <w:szCs w:val="20"/>
              </w:rPr>
            </w:pPr>
            <m:oMathPara>
              <m:oMathParaPr>
                <m:jc m:val="left"/>
              </m:oMathParaPr>
              <m:oMath>
                <m:sSub>
                  <m:sSubPr>
                    <m:ctrlPr>
                      <w:rPr>
                        <w:rFonts w:ascii="Cambria Math" w:eastAsia="Calibri" w:hAnsi="Calibri" w:cs="Times New Roman"/>
                        <w:i/>
                        <w:sz w:val="20"/>
                        <w:szCs w:val="20"/>
                      </w:rPr>
                    </m:ctrlPr>
                  </m:sSubPr>
                  <m:e>
                    <m:r>
                      <w:rPr>
                        <w:rFonts w:ascii="Cambria Math" w:hAnsi="Cambria Math"/>
                        <w:sz w:val="20"/>
                        <w:szCs w:val="20"/>
                      </w:rPr>
                      <m:t>W</m:t>
                    </m:r>
                    <m:ctrlPr>
                      <w:rPr>
                        <w:rFonts w:ascii="Cambria Math" w:hAnsi="Calibri"/>
                        <w:i/>
                        <w:sz w:val="20"/>
                        <w:szCs w:val="20"/>
                      </w:rPr>
                    </m:ctrlPr>
                  </m:e>
                  <m:sub>
                    <m:r>
                      <w:rPr>
                        <w:rFonts w:ascii="Cambria Math" w:hAnsi="Cambria Math"/>
                        <w:sz w:val="20"/>
                        <w:szCs w:val="20"/>
                      </w:rPr>
                      <m:t>ft</m:t>
                    </m:r>
                    <m:ctrlPr>
                      <w:rPr>
                        <w:rFonts w:ascii="Cambria Math" w:hAnsi="Calibri"/>
                        <w:i/>
                        <w:sz w:val="20"/>
                        <w:szCs w:val="20"/>
                      </w:rPr>
                    </m:ctrlPr>
                  </m:sub>
                </m:sSub>
                <m:r>
                  <w:rPr>
                    <w:rFonts w:ascii="Cambria Math" w:hAnsi="Cambria Math"/>
                    <w:sz w:val="20"/>
                    <w:szCs w:val="20"/>
                  </w:rPr>
                  <m:t>∙</m:t>
                </m:r>
                <m:nary>
                  <m:naryPr>
                    <m:chr m:val="∑"/>
                    <m:limLoc m:val="subSup"/>
                    <m:supHide m:val="on"/>
                    <m:ctrlPr>
                      <w:rPr>
                        <w:rFonts w:ascii="Cambria Math" w:hAnsi="Calibri"/>
                        <w:i/>
                        <w:sz w:val="20"/>
                        <w:szCs w:val="20"/>
                      </w:rPr>
                    </m:ctrlPr>
                  </m:naryPr>
                  <m:sub>
                    <m:r>
                      <w:rPr>
                        <w:rFonts w:ascii="Cambria Math" w:hAnsi="Cambria Math"/>
                        <w:sz w:val="20"/>
                        <w:szCs w:val="20"/>
                      </w:rPr>
                      <m:t>c</m:t>
                    </m:r>
                  </m:sub>
                  <m:sup/>
                  <m:e>
                    <m:sSub>
                      <m:sSubPr>
                        <m:ctrlPr>
                          <w:rPr>
                            <w:rFonts w:ascii="Cambria Math" w:hAnsi="Calibri"/>
                            <w:i/>
                            <w:sz w:val="20"/>
                            <w:szCs w:val="20"/>
                          </w:rPr>
                        </m:ctrlPr>
                      </m:sSubPr>
                      <m:e>
                        <m:r>
                          <w:rPr>
                            <w:rFonts w:ascii="Cambria Math" w:hAnsi="Cambria Math"/>
                            <w:sz w:val="20"/>
                            <w:szCs w:val="20"/>
                          </w:rPr>
                          <m:t>F</m:t>
                        </m:r>
                      </m:e>
                      <m:sub>
                        <m:r>
                          <w:rPr>
                            <w:rFonts w:ascii="Cambria Math" w:hAnsi="Cambria Math"/>
                            <w:sz w:val="20"/>
                            <w:szCs w:val="20"/>
                          </w:rPr>
                          <m:t>fct</m:t>
                        </m:r>
                      </m:sub>
                    </m:sSub>
                  </m:e>
                </m:nary>
                <m:r>
                  <w:rPr>
                    <w:rFonts w:ascii="Cambria Math" w:hAnsi="Calibri"/>
                    <w:sz w:val="20"/>
                    <w:szCs w:val="20"/>
                  </w:rPr>
                  <m:t>=</m:t>
                </m:r>
                <m:nary>
                  <m:naryPr>
                    <m:chr m:val="∑"/>
                    <m:limLoc m:val="subSup"/>
                    <m:supHide m:val="on"/>
                    <m:ctrlPr>
                      <w:rPr>
                        <w:rFonts w:ascii="Cambria Math" w:hAnsi="Calibri"/>
                        <w:i/>
                        <w:sz w:val="20"/>
                        <w:szCs w:val="20"/>
                      </w:rPr>
                    </m:ctrlPr>
                  </m:naryPr>
                  <m:sub>
                    <m:r>
                      <w:rPr>
                        <w:rFonts w:ascii="Cambria Math" w:hAnsi="Calibri"/>
                        <w:sz w:val="20"/>
                        <w:szCs w:val="20"/>
                      </w:rPr>
                      <m:t>c</m:t>
                    </m:r>
                  </m:sub>
                  <m:sup/>
                  <m:e>
                    <m:sSub>
                      <m:sSubPr>
                        <m:ctrlPr>
                          <w:rPr>
                            <w:rFonts w:ascii="Cambria Math" w:hAnsi="Calibri"/>
                            <w:i/>
                            <w:sz w:val="20"/>
                            <w:szCs w:val="20"/>
                          </w:rPr>
                        </m:ctrlPr>
                      </m:sSubPr>
                      <m:e>
                        <m:sSub>
                          <m:sSubPr>
                            <m:ctrlPr>
                              <w:rPr>
                                <w:rFonts w:ascii="Cambria Math" w:hAnsi="Calibri"/>
                                <w:i/>
                                <w:sz w:val="20"/>
                                <w:szCs w:val="20"/>
                              </w:rPr>
                            </m:ctrlPr>
                          </m:sSubPr>
                          <m:e>
                            <m:r>
                              <w:rPr>
                                <w:rFonts w:ascii="Cambria Math" w:hAnsi="Cambria Math"/>
                                <w:sz w:val="20"/>
                                <w:szCs w:val="20"/>
                              </w:rPr>
                              <m:t>δ</m:t>
                            </m:r>
                          </m:e>
                          <m:sub>
                            <m:r>
                              <w:rPr>
                                <w:rFonts w:ascii="Cambria Math" w:hAnsi="Cambria Math"/>
                                <w:sz w:val="20"/>
                                <w:szCs w:val="20"/>
                              </w:rPr>
                              <m:t>fc</m:t>
                            </m:r>
                          </m:sub>
                        </m:sSub>
                        <m:r>
                          <w:rPr>
                            <w:rFonts w:ascii="Cambria Math" w:hAnsi="Cambria Math"/>
                            <w:sz w:val="20"/>
                            <w:szCs w:val="20"/>
                          </w:rPr>
                          <m:t>∙P</m:t>
                        </m:r>
                      </m:e>
                      <m:sub>
                        <m:r>
                          <w:rPr>
                            <w:rFonts w:ascii="Cambria Math" w:hAnsi="Cambria Math"/>
                            <w:sz w:val="20"/>
                            <w:szCs w:val="20"/>
                          </w:rPr>
                          <m:t>ct</m:t>
                        </m:r>
                      </m:sub>
                    </m:sSub>
                    <m:r>
                      <w:rPr>
                        <w:rFonts w:ascii="Cambria Math" w:hAnsi="Cambria Math"/>
                        <w:sz w:val="20"/>
                        <w:szCs w:val="20"/>
                      </w:rPr>
                      <m:t>∙</m:t>
                    </m:r>
                    <m:sSub>
                      <m:sSubPr>
                        <m:ctrlPr>
                          <w:rPr>
                            <w:rFonts w:ascii="Cambria Math" w:hAnsi="Calibri"/>
                            <w:i/>
                            <w:sz w:val="20"/>
                            <w:szCs w:val="20"/>
                          </w:rPr>
                        </m:ctrlPr>
                      </m:sSubPr>
                      <m:e>
                        <m:r>
                          <w:rPr>
                            <w:rFonts w:ascii="Cambria Math" w:hAnsi="Cambria Math"/>
                            <w:sz w:val="20"/>
                            <w:szCs w:val="20"/>
                          </w:rPr>
                          <m:t>Q</m:t>
                        </m:r>
                      </m:e>
                      <m:sub>
                        <m:r>
                          <w:rPr>
                            <w:rFonts w:ascii="Cambria Math" w:hAnsi="Cambria Math"/>
                            <w:sz w:val="20"/>
                            <w:szCs w:val="20"/>
                          </w:rPr>
                          <m:t>ct</m:t>
                        </m:r>
                      </m:sub>
                    </m:sSub>
                  </m:e>
                </m:nary>
              </m:oMath>
            </m:oMathPara>
          </w:p>
        </w:tc>
        <w:tc>
          <w:tcPr>
            <w:tcW w:w="630" w:type="dxa"/>
            <w:vAlign w:val="center"/>
          </w:tcPr>
          <w:p w:rsidR="009B5E65" w:rsidRPr="00BB45CE" w:rsidRDefault="009B5E65" w:rsidP="00086A1F">
            <w:pPr>
              <w:spacing w:after="0" w:line="240" w:lineRule="auto"/>
              <w:jc w:val="center"/>
              <w:rPr>
                <w:sz w:val="20"/>
                <w:szCs w:val="20"/>
              </w:rPr>
            </w:pPr>
            <w:r w:rsidRPr="00BB45CE">
              <w:rPr>
                <w:sz w:val="20"/>
                <w:szCs w:val="20"/>
              </w:rPr>
              <w:t>(2)</w:t>
            </w:r>
          </w:p>
        </w:tc>
      </w:tr>
      <w:tr w:rsidR="009B5E65" w:rsidRPr="00BB45CE" w:rsidTr="00086A1F">
        <w:trPr>
          <w:trHeight w:val="576"/>
        </w:trPr>
        <w:tc>
          <w:tcPr>
            <w:tcW w:w="2790" w:type="dxa"/>
            <w:gridSpan w:val="4"/>
            <w:vAlign w:val="center"/>
          </w:tcPr>
          <w:p w:rsidR="009B5E65" w:rsidRPr="00BB45CE" w:rsidRDefault="009B5E65" w:rsidP="00086A1F">
            <w:pPr>
              <w:spacing w:after="0" w:line="240" w:lineRule="auto"/>
              <w:rPr>
                <w:sz w:val="20"/>
                <w:szCs w:val="20"/>
              </w:rPr>
            </w:pPr>
            <w:r w:rsidRPr="00BB45CE">
              <w:rPr>
                <w:sz w:val="20"/>
                <w:szCs w:val="20"/>
              </w:rPr>
              <w:t>Import supply</w:t>
            </w:r>
          </w:p>
        </w:tc>
        <w:tc>
          <w:tcPr>
            <w:tcW w:w="5850" w:type="dxa"/>
            <w:gridSpan w:val="4"/>
            <w:vAlign w:val="center"/>
          </w:tcPr>
          <w:p w:rsidR="009B5E65" w:rsidRPr="00BB45CE" w:rsidRDefault="00062AE1" w:rsidP="00086A1F">
            <w:pPr>
              <w:spacing w:after="0" w:line="240" w:lineRule="auto"/>
              <w:rPr>
                <w:sz w:val="20"/>
                <w:szCs w:val="20"/>
              </w:rPr>
            </w:pPr>
            <m:oMathPara>
              <m:oMathParaPr>
                <m:jc m:val="left"/>
              </m:oMathParaPr>
              <m:oMath>
                <m:sSub>
                  <m:sSubPr>
                    <m:ctrlPr>
                      <w:rPr>
                        <w:rFonts w:ascii="Cambria Math" w:eastAsia="Calibri" w:hAnsi="Calibri" w:cs="Times New Roman"/>
                        <w:i/>
                        <w:sz w:val="20"/>
                        <w:szCs w:val="20"/>
                      </w:rPr>
                    </m:ctrlPr>
                  </m:sSubPr>
                  <m:e>
                    <m:r>
                      <w:rPr>
                        <w:rFonts w:ascii="Cambria Math" w:hAnsi="Cambria Math"/>
                        <w:sz w:val="20"/>
                        <w:szCs w:val="20"/>
                      </w:rPr>
                      <m:t>P</m:t>
                    </m:r>
                    <m:ctrlPr>
                      <w:rPr>
                        <w:rFonts w:ascii="Cambria Math" w:hAnsi="Calibri"/>
                        <w:i/>
                        <w:sz w:val="20"/>
                        <w:szCs w:val="20"/>
                      </w:rPr>
                    </m:ctrlPr>
                  </m:e>
                  <m:sub>
                    <m:r>
                      <w:rPr>
                        <w:rFonts w:ascii="Cambria Math" w:hAnsi="Cambria Math"/>
                        <w:sz w:val="20"/>
                        <w:szCs w:val="20"/>
                      </w:rPr>
                      <m:t>ct</m:t>
                    </m:r>
                    <m:ctrlPr>
                      <w:rPr>
                        <w:rFonts w:ascii="Cambria Math" w:hAnsi="Calibri"/>
                        <w:i/>
                        <w:sz w:val="20"/>
                        <w:szCs w:val="20"/>
                      </w:rPr>
                    </m:ctrlPr>
                  </m:sub>
                </m:sSub>
                <m:r>
                  <w:rPr>
                    <w:rFonts w:ascii="Cambria Math" w:hAnsi="Cambria Math"/>
                    <w:sz w:val="20"/>
                    <w:szCs w:val="20"/>
                  </w:rPr>
                  <m:t>≤</m:t>
                </m:r>
                <m:sSubSup>
                  <m:sSubSupPr>
                    <m:ctrlPr>
                      <w:rPr>
                        <w:rFonts w:ascii="Cambria Math" w:hAnsi="Calibri"/>
                        <w:i/>
                        <w:sz w:val="20"/>
                        <w:szCs w:val="20"/>
                      </w:rPr>
                    </m:ctrlPr>
                  </m:sSubSupPr>
                  <m:e>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t</m:t>
                        </m:r>
                      </m:sub>
                    </m:sSub>
                    <m:r>
                      <w:rPr>
                        <w:rFonts w:ascii="Cambria Math" w:hAnsi="Cambria Math"/>
                        <w:sz w:val="20"/>
                        <w:szCs w:val="20"/>
                      </w:rPr>
                      <m:t>⋅w</m:t>
                    </m:r>
                  </m:e>
                  <m:sub>
                    <m:r>
                      <w:rPr>
                        <w:rFonts w:ascii="Cambria Math" w:hAnsi="Calibri"/>
                        <w:sz w:val="20"/>
                        <w:szCs w:val="20"/>
                      </w:rPr>
                      <m:t>c</m:t>
                    </m:r>
                  </m:sub>
                  <m:sup>
                    <m:r>
                      <w:rPr>
                        <w:rFonts w:ascii="Cambria Math" w:hAnsi="Cambria Math"/>
                        <w:sz w:val="20"/>
                        <w:szCs w:val="20"/>
                      </w:rPr>
                      <m:t>m</m:t>
                    </m:r>
                  </m:sup>
                </m:sSubSup>
                <m:r>
                  <w:rPr>
                    <w:rFonts w:ascii="Cambria Math" w:hAnsi="Cambria Math"/>
                    <w:sz w:val="20"/>
                    <w:szCs w:val="20"/>
                  </w:rPr>
                  <m:t>⊥</m:t>
                </m:r>
                <m:sSub>
                  <m:sSubPr>
                    <m:ctrlPr>
                      <w:rPr>
                        <w:rFonts w:ascii="Cambria Math" w:hAnsi="Calibri"/>
                        <w:i/>
                        <w:sz w:val="20"/>
                        <w:szCs w:val="20"/>
                      </w:rPr>
                    </m:ctrlPr>
                  </m:sSubPr>
                  <m:e>
                    <m:r>
                      <w:rPr>
                        <w:rFonts w:ascii="Cambria Math" w:hAnsi="Cambria Math"/>
                        <w:sz w:val="20"/>
                        <w:szCs w:val="20"/>
                      </w:rPr>
                      <m:t>M</m:t>
                    </m:r>
                  </m:e>
                  <m:sub>
                    <m:r>
                      <w:rPr>
                        <w:rFonts w:ascii="Cambria Math" w:hAnsi="Cambria Math"/>
                        <w:sz w:val="20"/>
                        <w:szCs w:val="20"/>
                      </w:rPr>
                      <m:t>ct</m:t>
                    </m:r>
                  </m:sub>
                </m:sSub>
                <m:r>
                  <w:rPr>
                    <w:rFonts w:ascii="Cambria Math" w:hAnsi="Cambria Math"/>
                    <w:sz w:val="20"/>
                    <w:szCs w:val="20"/>
                  </w:rPr>
                  <m:t>≥</m:t>
                </m:r>
                <m:r>
                  <w:rPr>
                    <w:rFonts w:ascii="Cambria Math" w:hAnsi="Calibri"/>
                    <w:sz w:val="20"/>
                    <w:szCs w:val="20"/>
                  </w:rPr>
                  <m:t>0</m:t>
                </m:r>
              </m:oMath>
            </m:oMathPara>
          </w:p>
        </w:tc>
        <w:tc>
          <w:tcPr>
            <w:tcW w:w="630" w:type="dxa"/>
            <w:vAlign w:val="center"/>
          </w:tcPr>
          <w:p w:rsidR="009B5E65" w:rsidRPr="00BB45CE" w:rsidRDefault="009B5E65" w:rsidP="00086A1F">
            <w:pPr>
              <w:spacing w:after="0" w:line="240" w:lineRule="auto"/>
              <w:jc w:val="center"/>
              <w:rPr>
                <w:sz w:val="20"/>
                <w:szCs w:val="20"/>
              </w:rPr>
            </w:pPr>
            <w:r w:rsidRPr="00BB45CE">
              <w:rPr>
                <w:sz w:val="20"/>
                <w:szCs w:val="20"/>
              </w:rPr>
              <w:t>(3)</w:t>
            </w:r>
          </w:p>
        </w:tc>
      </w:tr>
      <w:tr w:rsidR="009B5E65" w:rsidRPr="00BB45CE" w:rsidTr="00086A1F">
        <w:trPr>
          <w:trHeight w:val="576"/>
        </w:trPr>
        <w:tc>
          <w:tcPr>
            <w:tcW w:w="2790" w:type="dxa"/>
            <w:gridSpan w:val="4"/>
            <w:vAlign w:val="center"/>
          </w:tcPr>
          <w:p w:rsidR="009B5E65" w:rsidRPr="00BB45CE" w:rsidRDefault="009B5E65" w:rsidP="00086A1F">
            <w:pPr>
              <w:spacing w:after="0" w:line="240" w:lineRule="auto"/>
              <w:rPr>
                <w:sz w:val="20"/>
                <w:szCs w:val="20"/>
              </w:rPr>
            </w:pPr>
            <w:r w:rsidRPr="00BB45CE">
              <w:rPr>
                <w:sz w:val="20"/>
                <w:szCs w:val="20"/>
              </w:rPr>
              <w:t>Export demand</w:t>
            </w:r>
          </w:p>
        </w:tc>
        <w:tc>
          <w:tcPr>
            <w:tcW w:w="5850" w:type="dxa"/>
            <w:gridSpan w:val="4"/>
            <w:vAlign w:val="center"/>
          </w:tcPr>
          <w:p w:rsidR="009B5E65" w:rsidRPr="00BB45CE" w:rsidRDefault="00062AE1" w:rsidP="00086A1F">
            <w:pPr>
              <w:spacing w:after="0" w:line="240" w:lineRule="auto"/>
              <w:rPr>
                <w:sz w:val="20"/>
                <w:szCs w:val="20"/>
              </w:rPr>
            </w:pPr>
            <m:oMathPara>
              <m:oMathParaPr>
                <m:jc m:val="left"/>
              </m:oMathParaPr>
              <m:oMath>
                <m:sSub>
                  <m:sSubPr>
                    <m:ctrlPr>
                      <w:rPr>
                        <w:rFonts w:ascii="Cambria Math" w:eastAsia="Calibri" w:hAnsi="Calibri" w:cs="Times New Roman"/>
                        <w:i/>
                        <w:sz w:val="20"/>
                        <w:szCs w:val="20"/>
                      </w:rPr>
                    </m:ctrlPr>
                  </m:sSubPr>
                  <m:e>
                    <m:r>
                      <w:rPr>
                        <w:rFonts w:ascii="Cambria Math" w:hAnsi="Cambria Math"/>
                        <w:sz w:val="20"/>
                        <w:szCs w:val="20"/>
                      </w:rPr>
                      <m:t>P</m:t>
                    </m:r>
                    <m:ctrlPr>
                      <w:rPr>
                        <w:rFonts w:ascii="Cambria Math" w:hAnsi="Calibri"/>
                        <w:i/>
                        <w:sz w:val="20"/>
                        <w:szCs w:val="20"/>
                      </w:rPr>
                    </m:ctrlPr>
                  </m:e>
                  <m:sub>
                    <m:r>
                      <w:rPr>
                        <w:rFonts w:ascii="Cambria Math" w:hAnsi="Cambria Math"/>
                        <w:sz w:val="20"/>
                        <w:szCs w:val="20"/>
                      </w:rPr>
                      <m:t>ct</m:t>
                    </m:r>
                    <m:ctrlPr>
                      <w:rPr>
                        <w:rFonts w:ascii="Cambria Math" w:hAnsi="Calibri"/>
                        <w:i/>
                        <w:sz w:val="20"/>
                        <w:szCs w:val="20"/>
                      </w:rPr>
                    </m:ctrlPr>
                  </m:sub>
                </m:sSub>
                <m:r>
                  <w:rPr>
                    <w:rFonts w:ascii="Cambria Math" w:hAnsi="Cambria Math"/>
                    <w:sz w:val="20"/>
                    <w:szCs w:val="20"/>
                  </w:rPr>
                  <m:t>≥</m:t>
                </m:r>
                <m:sSubSup>
                  <m:sSubSupPr>
                    <m:ctrlPr>
                      <w:rPr>
                        <w:rFonts w:ascii="Cambria Math" w:hAnsi="Calibri"/>
                        <w:i/>
                        <w:sz w:val="20"/>
                        <w:szCs w:val="20"/>
                      </w:rPr>
                    </m:ctrlPr>
                  </m:sSubSupPr>
                  <m:e>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t</m:t>
                        </m:r>
                      </m:sub>
                    </m:sSub>
                    <m:r>
                      <w:rPr>
                        <w:rFonts w:ascii="Cambria Math" w:hAnsi="Cambria Math"/>
                        <w:sz w:val="20"/>
                        <w:szCs w:val="20"/>
                      </w:rPr>
                      <m:t>∙w</m:t>
                    </m:r>
                  </m:e>
                  <m:sub>
                    <m:r>
                      <w:rPr>
                        <w:rFonts w:ascii="Cambria Math" w:hAnsi="Calibri"/>
                        <w:sz w:val="20"/>
                        <w:szCs w:val="20"/>
                      </w:rPr>
                      <m:t>c</m:t>
                    </m:r>
                  </m:sub>
                  <m:sup>
                    <m:r>
                      <w:rPr>
                        <w:rFonts w:ascii="Cambria Math" w:hAnsi="Cambria Math"/>
                        <w:sz w:val="20"/>
                        <w:szCs w:val="20"/>
                      </w:rPr>
                      <m:t>e</m:t>
                    </m:r>
                  </m:sup>
                </m:sSubSup>
                <m:r>
                  <w:rPr>
                    <w:rFonts w:ascii="Cambria Math" w:hAnsi="Cambria Math"/>
                    <w:sz w:val="20"/>
                    <w:szCs w:val="20"/>
                  </w:rPr>
                  <m:t>⊥</m:t>
                </m:r>
                <m:sSub>
                  <m:sSubPr>
                    <m:ctrlPr>
                      <w:rPr>
                        <w:rFonts w:ascii="Cambria Math" w:hAnsi="Calibri"/>
                        <w:i/>
                        <w:sz w:val="20"/>
                        <w:szCs w:val="20"/>
                      </w:rPr>
                    </m:ctrlPr>
                  </m:sSubPr>
                  <m:e>
                    <m:r>
                      <w:rPr>
                        <w:rFonts w:ascii="Cambria Math" w:hAnsi="Cambria Math"/>
                        <w:sz w:val="20"/>
                        <w:szCs w:val="20"/>
                      </w:rPr>
                      <m:t>X</m:t>
                    </m:r>
                  </m:e>
                  <m:sub>
                    <m:r>
                      <w:rPr>
                        <w:rFonts w:ascii="Cambria Math" w:hAnsi="Cambria Math"/>
                        <w:sz w:val="20"/>
                        <w:szCs w:val="20"/>
                      </w:rPr>
                      <m:t>ct</m:t>
                    </m:r>
                  </m:sub>
                </m:sSub>
                <m:r>
                  <w:rPr>
                    <w:rFonts w:ascii="Cambria Math" w:hAnsi="Cambria Math"/>
                    <w:sz w:val="20"/>
                    <w:szCs w:val="20"/>
                  </w:rPr>
                  <m:t>≥</m:t>
                </m:r>
                <m:r>
                  <w:rPr>
                    <w:rFonts w:ascii="Cambria Math" w:hAnsi="Calibri"/>
                    <w:sz w:val="20"/>
                    <w:szCs w:val="20"/>
                  </w:rPr>
                  <m:t>0</m:t>
                </m:r>
              </m:oMath>
            </m:oMathPara>
          </w:p>
        </w:tc>
        <w:tc>
          <w:tcPr>
            <w:tcW w:w="630" w:type="dxa"/>
            <w:vAlign w:val="center"/>
          </w:tcPr>
          <w:p w:rsidR="009B5E65" w:rsidRPr="00BB45CE" w:rsidRDefault="009B5E65" w:rsidP="00086A1F">
            <w:pPr>
              <w:spacing w:after="0" w:line="240" w:lineRule="auto"/>
              <w:jc w:val="center"/>
              <w:rPr>
                <w:sz w:val="20"/>
                <w:szCs w:val="20"/>
              </w:rPr>
            </w:pPr>
            <w:r w:rsidRPr="00BB45CE">
              <w:rPr>
                <w:sz w:val="20"/>
                <w:szCs w:val="20"/>
              </w:rPr>
              <w:t>(4)</w:t>
            </w:r>
          </w:p>
        </w:tc>
      </w:tr>
      <w:tr w:rsidR="009B5E65" w:rsidRPr="00BB45CE" w:rsidTr="00086A1F">
        <w:trPr>
          <w:trHeight w:val="576"/>
        </w:trPr>
        <w:tc>
          <w:tcPr>
            <w:tcW w:w="2790" w:type="dxa"/>
            <w:gridSpan w:val="4"/>
            <w:vAlign w:val="center"/>
          </w:tcPr>
          <w:p w:rsidR="009B5E65" w:rsidRPr="00BB45CE" w:rsidRDefault="009B5E65" w:rsidP="00086A1F">
            <w:pPr>
              <w:spacing w:after="0" w:line="240" w:lineRule="auto"/>
              <w:rPr>
                <w:sz w:val="20"/>
                <w:szCs w:val="20"/>
              </w:rPr>
            </w:pPr>
            <w:r w:rsidRPr="00BB45CE">
              <w:rPr>
                <w:sz w:val="20"/>
                <w:szCs w:val="20"/>
              </w:rPr>
              <w:t>Household income</w:t>
            </w:r>
          </w:p>
        </w:tc>
        <w:tc>
          <w:tcPr>
            <w:tcW w:w="5850" w:type="dxa"/>
            <w:gridSpan w:val="4"/>
            <w:vAlign w:val="center"/>
          </w:tcPr>
          <w:p w:rsidR="009B5E65" w:rsidRPr="00BB45CE" w:rsidRDefault="00062AE1" w:rsidP="00086A1F">
            <w:pPr>
              <w:spacing w:after="0" w:line="240" w:lineRule="auto"/>
              <w:rPr>
                <w:sz w:val="20"/>
                <w:szCs w:val="20"/>
              </w:rPr>
            </w:pPr>
            <m:oMathPara>
              <m:oMathParaPr>
                <m:jc m:val="left"/>
              </m:oMathParaPr>
              <m:oMath>
                <m:sSub>
                  <m:sSubPr>
                    <m:ctrlPr>
                      <w:rPr>
                        <w:rFonts w:ascii="Cambria Math" w:eastAsia="Times New Roman" w:hAnsi="Calibri" w:cs="Times New Roman"/>
                        <w:i/>
                        <w:sz w:val="20"/>
                        <w:szCs w:val="20"/>
                      </w:rPr>
                    </m:ctrlPr>
                  </m:sSubPr>
                  <m:e>
                    <m:r>
                      <w:rPr>
                        <w:rFonts w:ascii="Cambria Math" w:eastAsia="Times New Roman" w:hAnsi="Cambria Math"/>
                        <w:sz w:val="20"/>
                        <w:szCs w:val="20"/>
                      </w:rPr>
                      <m:t>Y</m:t>
                    </m:r>
                    <m:ctrlPr>
                      <w:rPr>
                        <w:rFonts w:ascii="Cambria Math" w:eastAsia="Times New Roman" w:hAnsi="Calibri"/>
                        <w:i/>
                        <w:sz w:val="20"/>
                        <w:szCs w:val="20"/>
                      </w:rPr>
                    </m:ctrlPr>
                  </m:e>
                  <m:sub>
                    <m:r>
                      <w:rPr>
                        <w:rFonts w:ascii="Cambria Math" w:eastAsia="Times New Roman" w:hAnsi="Cambria Math"/>
                        <w:sz w:val="20"/>
                        <w:szCs w:val="20"/>
                      </w:rPr>
                      <m:t>ht</m:t>
                    </m:r>
                    <m:ctrlPr>
                      <w:rPr>
                        <w:rFonts w:ascii="Cambria Math" w:eastAsia="Times New Roman" w:hAnsi="Calibri"/>
                        <w:i/>
                        <w:sz w:val="20"/>
                        <w:szCs w:val="20"/>
                      </w:rPr>
                    </m:ctrlPr>
                  </m:sub>
                </m:sSub>
                <m:r>
                  <w:rPr>
                    <w:rFonts w:ascii="Cambria Math" w:eastAsia="Times New Roman" w:hAnsi="Calibri"/>
                    <w:sz w:val="20"/>
                    <w:szCs w:val="20"/>
                  </w:rPr>
                  <m:t>=</m:t>
                </m:r>
                <m:nary>
                  <m:naryPr>
                    <m:chr m:val="∑"/>
                    <m:limLoc m:val="subSup"/>
                    <m:supHide m:val="on"/>
                    <m:ctrlPr>
                      <w:rPr>
                        <w:rFonts w:ascii="Cambria Math" w:eastAsia="Times New Roman" w:hAnsi="Calibri"/>
                        <w:i/>
                        <w:sz w:val="20"/>
                        <w:szCs w:val="20"/>
                      </w:rPr>
                    </m:ctrlPr>
                  </m:naryPr>
                  <m:sub>
                    <m:r>
                      <w:rPr>
                        <w:rFonts w:ascii="Cambria Math" w:eastAsia="Times New Roman" w:hAnsi="Cambria Math"/>
                        <w:sz w:val="20"/>
                        <w:szCs w:val="20"/>
                      </w:rPr>
                      <m:t>fc</m:t>
                    </m:r>
                  </m:sub>
                  <m:sup/>
                  <m:e>
                    <m:sSub>
                      <m:sSubPr>
                        <m:ctrlPr>
                          <w:rPr>
                            <w:rFonts w:ascii="Cambria Math" w:eastAsia="Times New Roman" w:hAnsi="Calibri"/>
                            <w:i/>
                            <w:sz w:val="20"/>
                            <w:szCs w:val="20"/>
                          </w:rPr>
                        </m:ctrlPr>
                      </m:sSubPr>
                      <m:e>
                        <m:r>
                          <w:rPr>
                            <w:rFonts w:ascii="Cambria Math" w:eastAsia="Times New Roman" w:hAnsi="Cambria Math"/>
                            <w:sz w:val="20"/>
                            <w:szCs w:val="20"/>
                          </w:rPr>
                          <m:t>θ</m:t>
                        </m:r>
                      </m:e>
                      <m:sub>
                        <m:r>
                          <w:rPr>
                            <w:rFonts w:ascii="Cambria Math" w:eastAsia="Times New Roman" w:hAnsi="Cambria Math"/>
                            <w:sz w:val="20"/>
                            <w:szCs w:val="20"/>
                          </w:rPr>
                          <m:t>hf</m:t>
                        </m:r>
                      </m:sub>
                    </m:sSub>
                    <m:r>
                      <w:rPr>
                        <w:rFonts w:ascii="Cambria Math" w:eastAsia="Times New Roman" w:hAnsi="Cambria Math"/>
                        <w:sz w:val="20"/>
                        <w:szCs w:val="20"/>
                      </w:rPr>
                      <m:t>∙</m:t>
                    </m:r>
                    <m:sSub>
                      <m:sSubPr>
                        <m:ctrlPr>
                          <w:rPr>
                            <w:rFonts w:ascii="Cambria Math" w:eastAsia="Times New Roman" w:hAnsi="Calibri"/>
                            <w:i/>
                            <w:sz w:val="20"/>
                            <w:szCs w:val="20"/>
                          </w:rPr>
                        </m:ctrlPr>
                      </m:sSubPr>
                      <m:e>
                        <m:r>
                          <w:rPr>
                            <w:rFonts w:ascii="Cambria Math" w:eastAsia="Times New Roman" w:hAnsi="Cambria Math"/>
                            <w:sz w:val="20"/>
                            <w:szCs w:val="20"/>
                          </w:rPr>
                          <m:t>W</m:t>
                        </m:r>
                      </m:e>
                      <m:sub>
                        <m:r>
                          <w:rPr>
                            <w:rFonts w:ascii="Cambria Math" w:eastAsia="Times New Roman" w:hAnsi="Cambria Math"/>
                            <w:sz w:val="20"/>
                            <w:szCs w:val="20"/>
                          </w:rPr>
                          <m:t>ft</m:t>
                        </m:r>
                      </m:sub>
                    </m:sSub>
                    <m:r>
                      <w:rPr>
                        <w:rFonts w:ascii="Cambria Math" w:eastAsia="Times New Roman" w:hAnsi="Cambria Math"/>
                        <w:sz w:val="20"/>
                        <w:szCs w:val="20"/>
                      </w:rPr>
                      <m:t>∙</m:t>
                    </m:r>
                    <m:sSub>
                      <m:sSubPr>
                        <m:ctrlPr>
                          <w:rPr>
                            <w:rFonts w:ascii="Cambria Math" w:eastAsia="Times New Roman" w:hAnsi="Calibri"/>
                            <w:i/>
                            <w:sz w:val="20"/>
                            <w:szCs w:val="20"/>
                          </w:rPr>
                        </m:ctrlPr>
                      </m:sSubPr>
                      <m:e>
                        <m:r>
                          <w:rPr>
                            <w:rFonts w:ascii="Cambria Math" w:eastAsia="Times New Roman" w:hAnsi="Cambria Math"/>
                            <w:sz w:val="20"/>
                            <w:szCs w:val="20"/>
                          </w:rPr>
                          <m:t>F</m:t>
                        </m:r>
                      </m:e>
                      <m:sub>
                        <m:r>
                          <w:rPr>
                            <w:rFonts w:ascii="Cambria Math" w:eastAsia="Times New Roman" w:hAnsi="Cambria Math"/>
                            <w:sz w:val="20"/>
                            <w:szCs w:val="20"/>
                          </w:rPr>
                          <m:t>fct</m:t>
                        </m:r>
                      </m:sub>
                    </m:sSub>
                  </m:e>
                </m:nary>
                <m:r>
                  <w:rPr>
                    <w:rFonts w:ascii="Cambria Math" w:eastAsia="Times New Roman" w:hAnsi="Calibri"/>
                    <w:sz w:val="20"/>
                    <w:szCs w:val="20"/>
                  </w:rPr>
                  <m:t>+</m:t>
                </m:r>
                <m:sSub>
                  <m:sSubPr>
                    <m:ctrlPr>
                      <w:rPr>
                        <w:rFonts w:ascii="Cambria Math" w:hAnsi="Calibri"/>
                        <w:i/>
                        <w:sz w:val="20"/>
                        <w:szCs w:val="20"/>
                      </w:rPr>
                    </m:ctrlPr>
                  </m:sSubPr>
                  <m:e>
                    <m:r>
                      <w:rPr>
                        <w:rFonts w:ascii="Cambria Math" w:hAnsi="Calibri"/>
                        <w:sz w:val="20"/>
                        <w:szCs w:val="20"/>
                      </w:rPr>
                      <m:t>r</m:t>
                    </m:r>
                  </m:e>
                  <m:sub>
                    <m:r>
                      <w:rPr>
                        <w:rFonts w:ascii="Cambria Math" w:hAnsi="Cambria Math"/>
                        <w:sz w:val="20"/>
                        <w:szCs w:val="20"/>
                      </w:rPr>
                      <m:t>h</m:t>
                    </m:r>
                  </m:sub>
                </m:sSub>
                <m:r>
                  <w:rPr>
                    <w:rFonts w:ascii="Cambria Math" w:eastAsiaTheme="minorEastAsia" w:hAnsi="Cambria Math"/>
                    <w:sz w:val="20"/>
                    <w:szCs w:val="20"/>
                  </w:rPr>
                  <m:t>∙</m:t>
                </m:r>
                <m:sSub>
                  <m:sSubPr>
                    <m:ctrlPr>
                      <w:rPr>
                        <w:rFonts w:ascii="Cambria Math" w:eastAsiaTheme="minorEastAsia" w:hAnsi="Cambria Math"/>
                        <w:i/>
                        <w:sz w:val="20"/>
                        <w:szCs w:val="20"/>
                      </w:rPr>
                    </m:ctrlPr>
                  </m:sSubPr>
                  <m:e>
                    <m:r>
                      <w:rPr>
                        <w:rFonts w:ascii="Cambria Math" w:eastAsiaTheme="minorEastAsia" w:hAnsi="Cambria Math"/>
                        <w:sz w:val="20"/>
                        <w:szCs w:val="20"/>
                      </w:rPr>
                      <m:t>E</m:t>
                    </m:r>
                  </m:e>
                  <m:sub>
                    <m:r>
                      <w:rPr>
                        <w:rFonts w:ascii="Cambria Math" w:eastAsiaTheme="minorEastAsia" w:hAnsi="Cambria Math"/>
                        <w:sz w:val="20"/>
                        <w:szCs w:val="20"/>
                      </w:rPr>
                      <m:t>t</m:t>
                    </m:r>
                  </m:sub>
                </m:sSub>
              </m:oMath>
            </m:oMathPara>
          </w:p>
        </w:tc>
        <w:tc>
          <w:tcPr>
            <w:tcW w:w="630" w:type="dxa"/>
            <w:vAlign w:val="center"/>
          </w:tcPr>
          <w:p w:rsidR="009B5E65" w:rsidRPr="00BB45CE" w:rsidRDefault="009B5E65" w:rsidP="00086A1F">
            <w:pPr>
              <w:spacing w:after="0" w:line="240" w:lineRule="auto"/>
              <w:jc w:val="center"/>
              <w:rPr>
                <w:sz w:val="20"/>
                <w:szCs w:val="20"/>
              </w:rPr>
            </w:pPr>
            <w:r w:rsidRPr="00BB45CE">
              <w:rPr>
                <w:sz w:val="20"/>
                <w:szCs w:val="20"/>
              </w:rPr>
              <w:t>(5)</w:t>
            </w:r>
          </w:p>
        </w:tc>
      </w:tr>
      <w:tr w:rsidR="009B5E65" w:rsidRPr="00BB45CE" w:rsidTr="00086A1F">
        <w:trPr>
          <w:trHeight w:val="576"/>
        </w:trPr>
        <w:tc>
          <w:tcPr>
            <w:tcW w:w="2790" w:type="dxa"/>
            <w:gridSpan w:val="4"/>
            <w:vAlign w:val="center"/>
          </w:tcPr>
          <w:p w:rsidR="009B5E65" w:rsidRPr="00BB45CE" w:rsidRDefault="009B5E65" w:rsidP="00086A1F">
            <w:pPr>
              <w:spacing w:after="0" w:line="240" w:lineRule="auto"/>
              <w:rPr>
                <w:sz w:val="20"/>
                <w:szCs w:val="20"/>
              </w:rPr>
            </w:pPr>
            <w:r w:rsidRPr="00BB45CE">
              <w:rPr>
                <w:sz w:val="20"/>
                <w:szCs w:val="20"/>
              </w:rPr>
              <w:t>Consumption demand</w:t>
            </w:r>
          </w:p>
        </w:tc>
        <w:tc>
          <w:tcPr>
            <w:tcW w:w="5850" w:type="dxa"/>
            <w:gridSpan w:val="4"/>
            <w:vAlign w:val="center"/>
          </w:tcPr>
          <w:p w:rsidR="009B5E65" w:rsidRPr="00BB45CE" w:rsidRDefault="00062AE1" w:rsidP="00086A1F">
            <w:pPr>
              <w:spacing w:after="0" w:line="240" w:lineRule="auto"/>
              <w:rPr>
                <w:sz w:val="20"/>
                <w:szCs w:val="20"/>
              </w:rPr>
            </w:pPr>
            <m:oMathPara>
              <m:oMathParaPr>
                <m:jc m:val="left"/>
              </m:oMathParaPr>
              <m:oMath>
                <m:sSub>
                  <m:sSubPr>
                    <m:ctrlPr>
                      <w:rPr>
                        <w:rFonts w:ascii="Cambria Math" w:eastAsia="Times New Roman" w:hAnsi="Calibri" w:cs="Times New Roman"/>
                        <w:i/>
                        <w:sz w:val="20"/>
                        <w:szCs w:val="20"/>
                      </w:rPr>
                    </m:ctrlPr>
                  </m:sSubPr>
                  <m:e>
                    <m:r>
                      <w:rPr>
                        <w:rFonts w:ascii="Cambria Math" w:eastAsia="Times New Roman" w:hAnsi="Calibri"/>
                        <w:sz w:val="20"/>
                        <w:szCs w:val="20"/>
                      </w:rPr>
                      <m:t>P</m:t>
                    </m:r>
                    <m:ctrlPr>
                      <w:rPr>
                        <w:rFonts w:ascii="Cambria Math" w:eastAsia="Times New Roman" w:hAnsi="Calibri"/>
                        <w:i/>
                        <w:sz w:val="20"/>
                        <w:szCs w:val="20"/>
                      </w:rPr>
                    </m:ctrlPr>
                  </m:e>
                  <m:sub>
                    <m:r>
                      <w:rPr>
                        <w:rFonts w:ascii="Cambria Math" w:eastAsia="Times New Roman" w:hAnsi="Calibri"/>
                        <w:sz w:val="20"/>
                        <w:szCs w:val="20"/>
                      </w:rPr>
                      <m:t>ct</m:t>
                    </m:r>
                    <m:ctrlPr>
                      <w:rPr>
                        <w:rFonts w:ascii="Cambria Math" w:eastAsia="Times New Roman" w:hAnsi="Calibri"/>
                        <w:i/>
                        <w:sz w:val="20"/>
                        <w:szCs w:val="20"/>
                      </w:rPr>
                    </m:ctrlPr>
                  </m:sub>
                </m:sSub>
                <m:r>
                  <w:rPr>
                    <w:rFonts w:ascii="Cambria Math" w:eastAsia="Times New Roman" w:hAnsi="Cambria Math"/>
                    <w:sz w:val="20"/>
                    <w:szCs w:val="20"/>
                  </w:rPr>
                  <m:t>∙</m:t>
                </m:r>
                <m:sSub>
                  <m:sSubPr>
                    <m:ctrlPr>
                      <w:rPr>
                        <w:rFonts w:ascii="Cambria Math" w:eastAsia="Times New Roman" w:hAnsi="Calibri"/>
                        <w:i/>
                        <w:sz w:val="20"/>
                        <w:szCs w:val="20"/>
                      </w:rPr>
                    </m:ctrlPr>
                  </m:sSubPr>
                  <m:e>
                    <m:r>
                      <w:rPr>
                        <w:rFonts w:ascii="Cambria Math" w:eastAsia="Times New Roman" w:hAnsi="Cambria Math"/>
                        <w:sz w:val="20"/>
                        <w:szCs w:val="20"/>
                      </w:rPr>
                      <m:t>D</m:t>
                    </m:r>
                  </m:e>
                  <m:sub>
                    <m:r>
                      <w:rPr>
                        <w:rFonts w:ascii="Cambria Math" w:eastAsia="Times New Roman" w:hAnsi="Cambria Math"/>
                        <w:sz w:val="20"/>
                        <w:szCs w:val="20"/>
                      </w:rPr>
                      <m:t>hct</m:t>
                    </m:r>
                  </m:sub>
                </m:sSub>
                <m:r>
                  <w:rPr>
                    <w:rFonts w:ascii="Cambria Math" w:eastAsia="Times New Roman" w:hAnsi="Calibri"/>
                    <w:sz w:val="20"/>
                    <w:szCs w:val="20"/>
                  </w:rPr>
                  <m:t>=</m:t>
                </m:r>
                <m:sSub>
                  <m:sSubPr>
                    <m:ctrlPr>
                      <w:rPr>
                        <w:rFonts w:ascii="Cambria Math" w:eastAsia="Times New Roman" w:hAnsi="Calibri"/>
                        <w:i/>
                        <w:sz w:val="20"/>
                        <w:szCs w:val="20"/>
                      </w:rPr>
                    </m:ctrlPr>
                  </m:sSubPr>
                  <m:e>
                    <m:r>
                      <w:rPr>
                        <w:rFonts w:ascii="Cambria Math" w:eastAsia="Times New Roman" w:hAnsi="Cambria Math"/>
                        <w:sz w:val="20"/>
                        <w:szCs w:val="20"/>
                      </w:rPr>
                      <m:t>β</m:t>
                    </m:r>
                  </m:e>
                  <m:sub>
                    <m:r>
                      <w:rPr>
                        <w:rFonts w:ascii="Cambria Math" w:eastAsia="Times New Roman" w:hAnsi="Cambria Math"/>
                        <w:sz w:val="20"/>
                        <w:szCs w:val="20"/>
                      </w:rPr>
                      <m:t>hc</m:t>
                    </m:r>
                  </m:sub>
                </m:sSub>
                <m:r>
                  <w:rPr>
                    <w:rFonts w:ascii="Cambria Math" w:eastAsia="Times New Roman" w:hAnsi="Cambria Math"/>
                    <w:sz w:val="20"/>
                    <w:szCs w:val="20"/>
                  </w:rPr>
                  <m:t>∙</m:t>
                </m:r>
                <m:d>
                  <m:dPr>
                    <m:ctrlPr>
                      <w:rPr>
                        <w:rFonts w:ascii="Cambria Math" w:eastAsia="Times New Roman" w:hAnsi="Calibri"/>
                        <w:i/>
                        <w:sz w:val="20"/>
                        <w:szCs w:val="20"/>
                      </w:rPr>
                    </m:ctrlPr>
                  </m:dPr>
                  <m:e>
                    <m:r>
                      <w:rPr>
                        <w:rFonts w:ascii="Cambria Math" w:eastAsia="Times New Roman" w:hAnsi="Calibri"/>
                        <w:sz w:val="20"/>
                        <w:szCs w:val="20"/>
                      </w:rPr>
                      <m:t>1</m:t>
                    </m:r>
                    <m:r>
                      <w:rPr>
                        <w:rFonts w:ascii="Cambria Math" w:eastAsia="Times New Roman" w:hAnsi="Cambria Math"/>
                        <w:sz w:val="20"/>
                        <w:szCs w:val="20"/>
                      </w:rPr>
                      <m:t>-</m:t>
                    </m:r>
                    <m:sSub>
                      <m:sSubPr>
                        <m:ctrlPr>
                          <w:rPr>
                            <w:rFonts w:ascii="Cambria Math" w:eastAsia="Times New Roman" w:hAnsi="Calibri"/>
                            <w:i/>
                            <w:sz w:val="20"/>
                            <w:szCs w:val="20"/>
                          </w:rPr>
                        </m:ctrlPr>
                      </m:sSubPr>
                      <m:e>
                        <m:r>
                          <w:rPr>
                            <w:rFonts w:ascii="Cambria Math" w:eastAsia="Times New Roman" w:hAnsi="Cambria Math"/>
                            <w:sz w:val="20"/>
                            <w:szCs w:val="20"/>
                          </w:rPr>
                          <m:t>υ</m:t>
                        </m:r>
                      </m:e>
                      <m:sub>
                        <m:r>
                          <w:rPr>
                            <w:rFonts w:ascii="Cambria Math" w:eastAsia="Times New Roman" w:hAnsi="Cambria Math"/>
                            <w:sz w:val="20"/>
                            <w:szCs w:val="20"/>
                          </w:rPr>
                          <m:t>h</m:t>
                        </m:r>
                      </m:sub>
                    </m:sSub>
                  </m:e>
                </m:d>
                <m:r>
                  <w:rPr>
                    <w:rFonts w:ascii="Cambria Math" w:eastAsia="Times New Roman" w:hAnsi="Cambria Math"/>
                    <w:sz w:val="20"/>
                    <w:szCs w:val="20"/>
                  </w:rPr>
                  <m:t>∙</m:t>
                </m:r>
                <m:sSub>
                  <m:sSubPr>
                    <m:ctrlPr>
                      <w:rPr>
                        <w:rFonts w:ascii="Cambria Math" w:eastAsia="Times New Roman" w:hAnsi="Calibri"/>
                        <w:i/>
                        <w:sz w:val="20"/>
                        <w:szCs w:val="20"/>
                      </w:rPr>
                    </m:ctrlPr>
                  </m:sSubPr>
                  <m:e>
                    <m:r>
                      <w:rPr>
                        <w:rFonts w:ascii="Cambria Math" w:eastAsia="Times New Roman" w:hAnsi="Cambria Math"/>
                        <w:sz w:val="20"/>
                        <w:szCs w:val="20"/>
                      </w:rPr>
                      <m:t>Y</m:t>
                    </m:r>
                  </m:e>
                  <m:sub>
                    <m:r>
                      <w:rPr>
                        <w:rFonts w:ascii="Cambria Math" w:eastAsia="Times New Roman" w:hAnsi="Cambria Math"/>
                        <w:sz w:val="20"/>
                        <w:szCs w:val="20"/>
                      </w:rPr>
                      <m:t>ht</m:t>
                    </m:r>
                  </m:sub>
                </m:sSub>
              </m:oMath>
            </m:oMathPara>
          </w:p>
        </w:tc>
        <w:tc>
          <w:tcPr>
            <w:tcW w:w="630" w:type="dxa"/>
            <w:vAlign w:val="center"/>
          </w:tcPr>
          <w:p w:rsidR="009B5E65" w:rsidRPr="00BB45CE" w:rsidRDefault="009B5E65" w:rsidP="00086A1F">
            <w:pPr>
              <w:spacing w:after="0" w:line="240" w:lineRule="auto"/>
              <w:jc w:val="center"/>
              <w:rPr>
                <w:sz w:val="20"/>
                <w:szCs w:val="20"/>
              </w:rPr>
            </w:pPr>
            <w:r w:rsidRPr="00BB45CE">
              <w:rPr>
                <w:sz w:val="20"/>
                <w:szCs w:val="20"/>
              </w:rPr>
              <w:t>(6)</w:t>
            </w:r>
          </w:p>
        </w:tc>
      </w:tr>
      <w:tr w:rsidR="009B5E65" w:rsidRPr="00BB45CE" w:rsidTr="00086A1F">
        <w:trPr>
          <w:trHeight w:val="576"/>
        </w:trPr>
        <w:tc>
          <w:tcPr>
            <w:tcW w:w="2790" w:type="dxa"/>
            <w:gridSpan w:val="4"/>
            <w:vAlign w:val="center"/>
          </w:tcPr>
          <w:p w:rsidR="009B5E65" w:rsidRPr="00BB45CE" w:rsidRDefault="009B5E65" w:rsidP="00086A1F">
            <w:pPr>
              <w:spacing w:after="0" w:line="240" w:lineRule="auto"/>
              <w:rPr>
                <w:sz w:val="20"/>
                <w:szCs w:val="20"/>
              </w:rPr>
            </w:pPr>
            <w:r w:rsidRPr="00BB45CE">
              <w:rPr>
                <w:sz w:val="20"/>
                <w:szCs w:val="20"/>
              </w:rPr>
              <w:t>Investment demand</w:t>
            </w:r>
          </w:p>
        </w:tc>
        <w:tc>
          <w:tcPr>
            <w:tcW w:w="5850" w:type="dxa"/>
            <w:gridSpan w:val="4"/>
            <w:vAlign w:val="center"/>
          </w:tcPr>
          <w:p w:rsidR="009B5E65" w:rsidRPr="00BB45CE" w:rsidRDefault="00062AE1" w:rsidP="00086A1F">
            <w:pPr>
              <w:spacing w:after="0" w:line="240" w:lineRule="auto"/>
              <w:rPr>
                <w:sz w:val="20"/>
                <w:szCs w:val="20"/>
              </w:rPr>
            </w:pPr>
            <m:oMathPara>
              <m:oMathParaPr>
                <m:jc m:val="left"/>
              </m:oMathParaPr>
              <m:oMath>
                <m:sSub>
                  <m:sSubPr>
                    <m:ctrlPr>
                      <w:rPr>
                        <w:rFonts w:ascii="Cambria Math" w:eastAsia="Calibri" w:hAnsi="Calibri" w:cs="Times New Roman"/>
                        <w:i/>
                        <w:sz w:val="20"/>
                        <w:szCs w:val="20"/>
                      </w:rPr>
                    </m:ctrlPr>
                  </m:sSubPr>
                  <m:e>
                    <m:r>
                      <w:rPr>
                        <w:rFonts w:ascii="Cambria Math" w:hAnsi="Cambria Math"/>
                        <w:sz w:val="20"/>
                        <w:szCs w:val="20"/>
                      </w:rPr>
                      <m:t>P</m:t>
                    </m:r>
                    <m:ctrlPr>
                      <w:rPr>
                        <w:rFonts w:ascii="Cambria Math" w:hAnsi="Calibri"/>
                        <w:i/>
                        <w:sz w:val="20"/>
                        <w:szCs w:val="20"/>
                      </w:rPr>
                    </m:ctrlPr>
                  </m:e>
                  <m:sub>
                    <m:r>
                      <w:rPr>
                        <w:rFonts w:ascii="Cambria Math" w:hAnsi="Cambria Math"/>
                        <w:sz w:val="20"/>
                        <w:szCs w:val="20"/>
                      </w:rPr>
                      <m:t>ct</m:t>
                    </m:r>
                    <m:ctrlPr>
                      <w:rPr>
                        <w:rFonts w:ascii="Cambria Math" w:hAnsi="Calibri"/>
                        <w:i/>
                        <w:sz w:val="20"/>
                        <w:szCs w:val="20"/>
                      </w:rPr>
                    </m:ctrlPr>
                  </m:sub>
                </m:sSub>
                <m:r>
                  <w:rPr>
                    <w:rFonts w:ascii="Cambria Math" w:hAnsi="Cambria Math"/>
                    <w:sz w:val="20"/>
                    <w:szCs w:val="20"/>
                  </w:rPr>
                  <m:t>∙</m:t>
                </m:r>
                <m:sSub>
                  <m:sSubPr>
                    <m:ctrlPr>
                      <w:rPr>
                        <w:rFonts w:ascii="Cambria Math" w:hAnsi="Calibri"/>
                        <w:i/>
                        <w:sz w:val="20"/>
                        <w:szCs w:val="20"/>
                      </w:rPr>
                    </m:ctrlPr>
                  </m:sSubPr>
                  <m:e>
                    <m:r>
                      <w:rPr>
                        <w:rFonts w:ascii="Cambria Math" w:hAnsi="Cambria Math"/>
                        <w:sz w:val="20"/>
                        <w:szCs w:val="20"/>
                      </w:rPr>
                      <m:t>I</m:t>
                    </m:r>
                  </m:e>
                  <m:sub>
                    <m:r>
                      <w:rPr>
                        <w:rFonts w:ascii="Cambria Math" w:hAnsi="Cambria Math"/>
                        <w:sz w:val="20"/>
                        <w:szCs w:val="20"/>
                      </w:rPr>
                      <m:t>ct</m:t>
                    </m:r>
                  </m:sub>
                </m:sSub>
                <m:r>
                  <w:rPr>
                    <w:rFonts w:ascii="Cambria Math" w:hAnsi="Calibri"/>
                    <w:sz w:val="20"/>
                    <w:szCs w:val="20"/>
                  </w:rPr>
                  <m:t>=</m:t>
                </m:r>
                <m:sSub>
                  <m:sSubPr>
                    <m:ctrlPr>
                      <w:rPr>
                        <w:rFonts w:ascii="Cambria Math" w:hAnsi="Calibri"/>
                        <w:i/>
                        <w:sz w:val="20"/>
                        <w:szCs w:val="20"/>
                      </w:rPr>
                    </m:ctrlPr>
                  </m:sSubPr>
                  <m:e>
                    <m:r>
                      <w:rPr>
                        <w:rFonts w:ascii="Cambria Math" w:hAnsi="Cambria Math"/>
                        <w:sz w:val="20"/>
                        <w:szCs w:val="20"/>
                      </w:rPr>
                      <m:t>ρ</m:t>
                    </m:r>
                  </m:e>
                  <m:sub>
                    <m:r>
                      <w:rPr>
                        <w:rFonts w:ascii="Cambria Math" w:hAnsi="Calibri"/>
                        <w:sz w:val="20"/>
                        <w:szCs w:val="20"/>
                      </w:rPr>
                      <m:t>c</m:t>
                    </m:r>
                  </m:sub>
                </m:sSub>
                <m:r>
                  <w:rPr>
                    <w:rFonts w:ascii="Cambria Math" w:hAnsi="Cambria Math"/>
                    <w:sz w:val="20"/>
                    <w:szCs w:val="20"/>
                  </w:rPr>
                  <m:t>∙</m:t>
                </m:r>
                <m:d>
                  <m:dPr>
                    <m:ctrlPr>
                      <w:rPr>
                        <w:rFonts w:ascii="Cambria Math" w:hAnsi="Calibri"/>
                        <w:i/>
                        <w:sz w:val="20"/>
                        <w:szCs w:val="20"/>
                      </w:rPr>
                    </m:ctrlPr>
                  </m:dPr>
                  <m:e>
                    <m:nary>
                      <m:naryPr>
                        <m:chr m:val="∑"/>
                        <m:limLoc m:val="subSup"/>
                        <m:supHide m:val="on"/>
                        <m:ctrlPr>
                          <w:rPr>
                            <w:rFonts w:ascii="Cambria Math" w:hAnsi="Calibri"/>
                            <w:i/>
                            <w:sz w:val="20"/>
                            <w:szCs w:val="20"/>
                          </w:rPr>
                        </m:ctrlPr>
                      </m:naryPr>
                      <m:sub>
                        <m:r>
                          <w:rPr>
                            <w:rFonts w:ascii="Cambria Math" w:hAnsi="Cambria Math"/>
                            <w:sz w:val="20"/>
                            <w:szCs w:val="20"/>
                          </w:rPr>
                          <m:t>h</m:t>
                        </m:r>
                      </m:sub>
                      <m:sup/>
                      <m:e>
                        <m:sSub>
                          <m:sSubPr>
                            <m:ctrlPr>
                              <w:rPr>
                                <w:rFonts w:ascii="Cambria Math" w:hAnsi="Calibri"/>
                                <w:i/>
                                <w:sz w:val="20"/>
                                <w:szCs w:val="20"/>
                              </w:rPr>
                            </m:ctrlPr>
                          </m:sSubPr>
                          <m:e>
                            <m:r>
                              <w:rPr>
                                <w:rFonts w:ascii="Cambria Math" w:eastAsia="Times New Roman" w:hAnsi="Cambria Math"/>
                                <w:sz w:val="20"/>
                                <w:szCs w:val="20"/>
                              </w:rPr>
                              <m:t>υ</m:t>
                            </m:r>
                          </m:e>
                          <m:sub>
                            <m:r>
                              <w:rPr>
                                <w:rFonts w:ascii="Cambria Math" w:hAnsi="Cambria Math"/>
                                <w:sz w:val="20"/>
                                <w:szCs w:val="20"/>
                              </w:rPr>
                              <m:t>h</m:t>
                            </m:r>
                          </m:sub>
                        </m:sSub>
                        <m:r>
                          <w:rPr>
                            <w:rFonts w:ascii="Cambria Math" w:hAnsi="Cambria Math"/>
                            <w:sz w:val="20"/>
                            <w:szCs w:val="20"/>
                          </w:rPr>
                          <m:t>∙</m:t>
                        </m:r>
                        <m:sSub>
                          <m:sSubPr>
                            <m:ctrlPr>
                              <w:rPr>
                                <w:rFonts w:ascii="Cambria Math" w:hAnsi="Calibri"/>
                                <w:i/>
                                <w:sz w:val="20"/>
                                <w:szCs w:val="20"/>
                              </w:rPr>
                            </m:ctrlPr>
                          </m:sSubPr>
                          <m:e>
                            <m:r>
                              <w:rPr>
                                <w:rFonts w:ascii="Cambria Math" w:hAnsi="Cambria Math"/>
                                <w:sz w:val="20"/>
                                <w:szCs w:val="20"/>
                              </w:rPr>
                              <m:t>Y</m:t>
                            </m:r>
                          </m:e>
                          <m:sub>
                            <m:r>
                              <w:rPr>
                                <w:rFonts w:ascii="Cambria Math" w:hAnsi="Cambria Math"/>
                                <w:sz w:val="20"/>
                                <w:szCs w:val="20"/>
                              </w:rPr>
                              <m:t>ht</m:t>
                            </m:r>
                          </m:sub>
                        </m:sSub>
                      </m:e>
                    </m:nary>
                    <m:r>
                      <w:rPr>
                        <w:rFonts w:ascii="Cambria Math" w:hAnsi="Calibri"/>
                        <w:sz w:val="20"/>
                        <w:szCs w:val="20"/>
                      </w:rPr>
                      <m:t>+</m:t>
                    </m:r>
                    <m:sSub>
                      <m:sSubPr>
                        <m:ctrlPr>
                          <w:rPr>
                            <w:rFonts w:ascii="Cambria Math" w:hAnsi="Calibri"/>
                            <w:i/>
                            <w:sz w:val="20"/>
                            <w:szCs w:val="20"/>
                          </w:rPr>
                        </m:ctrlPr>
                      </m:sSubPr>
                      <m:e>
                        <m:r>
                          <w:rPr>
                            <w:rFonts w:ascii="Cambria Math" w:hAnsi="Calibri"/>
                            <w:sz w:val="20"/>
                            <w:szCs w:val="20"/>
                          </w:rPr>
                          <m:t>E</m:t>
                        </m:r>
                      </m:e>
                      <m:sub>
                        <m:r>
                          <w:rPr>
                            <w:rFonts w:ascii="Cambria Math" w:hAnsi="Calibri"/>
                            <w:sz w:val="20"/>
                            <w:szCs w:val="20"/>
                          </w:rPr>
                          <m:t>t</m:t>
                        </m:r>
                      </m:sub>
                    </m:sSub>
                    <m:r>
                      <w:rPr>
                        <w:rFonts w:ascii="Cambria Math" w:hAnsi="Cambria Math"/>
                        <w:sz w:val="20"/>
                        <w:szCs w:val="20"/>
                      </w:rPr>
                      <m:t>∙b</m:t>
                    </m:r>
                  </m:e>
                </m:d>
              </m:oMath>
            </m:oMathPara>
          </w:p>
        </w:tc>
        <w:tc>
          <w:tcPr>
            <w:tcW w:w="630" w:type="dxa"/>
            <w:vAlign w:val="center"/>
          </w:tcPr>
          <w:p w:rsidR="009B5E65" w:rsidRPr="00BB45CE" w:rsidRDefault="009B5E65" w:rsidP="00086A1F">
            <w:pPr>
              <w:spacing w:after="0" w:line="240" w:lineRule="auto"/>
              <w:jc w:val="center"/>
              <w:rPr>
                <w:sz w:val="20"/>
                <w:szCs w:val="20"/>
              </w:rPr>
            </w:pPr>
            <w:r w:rsidRPr="00BB45CE">
              <w:rPr>
                <w:sz w:val="20"/>
                <w:szCs w:val="20"/>
              </w:rPr>
              <w:t>(7)</w:t>
            </w:r>
          </w:p>
        </w:tc>
      </w:tr>
      <w:tr w:rsidR="009B5E65" w:rsidRPr="00BB45CE" w:rsidTr="00086A1F">
        <w:trPr>
          <w:trHeight w:val="576"/>
        </w:trPr>
        <w:tc>
          <w:tcPr>
            <w:tcW w:w="2790" w:type="dxa"/>
            <w:gridSpan w:val="4"/>
            <w:vAlign w:val="center"/>
          </w:tcPr>
          <w:p w:rsidR="009B5E65" w:rsidRPr="00BB45CE" w:rsidRDefault="009B5E65" w:rsidP="00086A1F">
            <w:pPr>
              <w:spacing w:after="0" w:line="240" w:lineRule="auto"/>
              <w:rPr>
                <w:sz w:val="20"/>
                <w:szCs w:val="20"/>
              </w:rPr>
            </w:pPr>
            <w:r w:rsidRPr="00BB45CE">
              <w:rPr>
                <w:sz w:val="20"/>
                <w:szCs w:val="20"/>
              </w:rPr>
              <w:t>Current account balance</w:t>
            </w:r>
          </w:p>
        </w:tc>
        <w:tc>
          <w:tcPr>
            <w:tcW w:w="5850" w:type="dxa"/>
            <w:gridSpan w:val="4"/>
            <w:vAlign w:val="center"/>
          </w:tcPr>
          <w:p w:rsidR="009B5E65" w:rsidRPr="00BB45CE" w:rsidRDefault="00062AE1" w:rsidP="00086A1F">
            <w:pPr>
              <w:spacing w:after="0" w:line="240" w:lineRule="auto"/>
              <w:rPr>
                <w:sz w:val="20"/>
                <w:szCs w:val="20"/>
              </w:rPr>
            </w:pPr>
            <m:oMathPara>
              <m:oMathParaPr>
                <m:jc m:val="left"/>
              </m:oMathParaPr>
              <m:oMath>
                <m:sSubSup>
                  <m:sSubSupPr>
                    <m:ctrlPr>
                      <w:rPr>
                        <w:rFonts w:ascii="Cambria Math" w:hAnsi="Calibri"/>
                        <w:i/>
                        <w:sz w:val="20"/>
                        <w:szCs w:val="20"/>
                      </w:rPr>
                    </m:ctrlPr>
                  </m:sSubSupPr>
                  <m:e>
                    <m:r>
                      <w:rPr>
                        <w:rFonts w:ascii="Cambria Math" w:hAnsi="Cambria Math"/>
                        <w:sz w:val="20"/>
                        <w:szCs w:val="20"/>
                      </w:rPr>
                      <m:t>w</m:t>
                    </m:r>
                  </m:e>
                  <m:sub>
                    <m:r>
                      <w:rPr>
                        <w:rFonts w:ascii="Cambria Math" w:hAnsi="Calibri"/>
                        <w:sz w:val="20"/>
                        <w:szCs w:val="20"/>
                      </w:rPr>
                      <m:t>c</m:t>
                    </m:r>
                  </m:sub>
                  <m:sup>
                    <m:r>
                      <w:rPr>
                        <w:rFonts w:ascii="Cambria Math" w:hAnsi="Cambria Math"/>
                        <w:sz w:val="20"/>
                        <w:szCs w:val="20"/>
                      </w:rPr>
                      <m:t>m</m:t>
                    </m:r>
                  </m:sup>
                </m:sSubSup>
                <m:r>
                  <w:rPr>
                    <w:rFonts w:ascii="Cambria Math" w:hAnsi="Cambria Math"/>
                    <w:sz w:val="20"/>
                    <w:szCs w:val="20"/>
                  </w:rPr>
                  <m:t>∙</m:t>
                </m:r>
                <m:sSub>
                  <m:sSubPr>
                    <m:ctrlPr>
                      <w:rPr>
                        <w:rFonts w:ascii="Cambria Math" w:hAnsi="Calibri"/>
                        <w:i/>
                        <w:sz w:val="20"/>
                        <w:szCs w:val="20"/>
                      </w:rPr>
                    </m:ctrlPr>
                  </m:sSubPr>
                  <m:e>
                    <m:r>
                      <w:rPr>
                        <w:rFonts w:ascii="Cambria Math" w:hAnsi="Cambria Math"/>
                        <w:sz w:val="20"/>
                        <w:szCs w:val="20"/>
                      </w:rPr>
                      <m:t>M</m:t>
                    </m:r>
                  </m:e>
                  <m:sub>
                    <m:r>
                      <w:rPr>
                        <w:rFonts w:ascii="Cambria Math" w:hAnsi="Cambria Math"/>
                        <w:sz w:val="20"/>
                        <w:szCs w:val="20"/>
                      </w:rPr>
                      <m:t>ct</m:t>
                    </m:r>
                  </m:sub>
                </m:sSub>
                <m:r>
                  <w:rPr>
                    <w:rFonts w:ascii="Cambria Math" w:hAnsi="Calibri"/>
                    <w:sz w:val="20"/>
                    <w:szCs w:val="20"/>
                  </w:rPr>
                  <m:t>=</m:t>
                </m:r>
                <m:sSubSup>
                  <m:sSubSupPr>
                    <m:ctrlPr>
                      <w:rPr>
                        <w:rFonts w:ascii="Cambria Math" w:hAnsi="Calibri"/>
                        <w:i/>
                        <w:sz w:val="20"/>
                        <w:szCs w:val="20"/>
                      </w:rPr>
                    </m:ctrlPr>
                  </m:sSubSupPr>
                  <m:e>
                    <m:r>
                      <w:rPr>
                        <w:rFonts w:ascii="Cambria Math" w:hAnsi="Cambria Math"/>
                        <w:sz w:val="20"/>
                        <w:szCs w:val="20"/>
                      </w:rPr>
                      <m:t>w</m:t>
                    </m:r>
                  </m:e>
                  <m:sub>
                    <m:r>
                      <w:rPr>
                        <w:rFonts w:ascii="Cambria Math" w:hAnsi="Calibri"/>
                        <w:sz w:val="20"/>
                        <w:szCs w:val="20"/>
                      </w:rPr>
                      <m:t>c</m:t>
                    </m:r>
                  </m:sub>
                  <m:sup>
                    <m:r>
                      <w:rPr>
                        <w:rFonts w:ascii="Cambria Math" w:hAnsi="Cambria Math"/>
                        <w:sz w:val="20"/>
                        <w:szCs w:val="20"/>
                      </w:rPr>
                      <m:t>e</m:t>
                    </m:r>
                  </m:sup>
                </m:sSubSup>
                <m:r>
                  <w:rPr>
                    <w:rFonts w:ascii="Cambria Math" w:hAnsi="Cambria Math"/>
                    <w:sz w:val="20"/>
                    <w:szCs w:val="20"/>
                  </w:rPr>
                  <m:t>∙</m:t>
                </m:r>
                <m:sSub>
                  <m:sSubPr>
                    <m:ctrlPr>
                      <w:rPr>
                        <w:rFonts w:ascii="Cambria Math" w:hAnsi="Calibri"/>
                        <w:i/>
                        <w:sz w:val="20"/>
                        <w:szCs w:val="20"/>
                      </w:rPr>
                    </m:ctrlPr>
                  </m:sSubPr>
                  <m:e>
                    <m:r>
                      <w:rPr>
                        <w:rFonts w:ascii="Cambria Math" w:hAnsi="Cambria Math"/>
                        <w:sz w:val="20"/>
                        <w:szCs w:val="20"/>
                      </w:rPr>
                      <m:t>X</m:t>
                    </m:r>
                  </m:e>
                  <m:sub>
                    <m:r>
                      <w:rPr>
                        <w:rFonts w:ascii="Cambria Math" w:hAnsi="Cambria Math"/>
                        <w:sz w:val="20"/>
                        <w:szCs w:val="20"/>
                      </w:rPr>
                      <m:t>ct</m:t>
                    </m:r>
                  </m:sub>
                </m:sSub>
                <m:r>
                  <w:rPr>
                    <w:rFonts w:ascii="Cambria Math" w:eastAsia="Times New Roman" w:hAnsi="Calibri"/>
                    <w:sz w:val="20"/>
                    <w:szCs w:val="20"/>
                  </w:rPr>
                  <m:t>+</m:t>
                </m:r>
                <m:nary>
                  <m:naryPr>
                    <m:chr m:val="∑"/>
                    <m:limLoc m:val="subSup"/>
                    <m:supHide m:val="on"/>
                    <m:ctrlPr>
                      <w:rPr>
                        <w:rFonts w:ascii="Cambria Math" w:hAnsi="Calibri"/>
                        <w:i/>
                        <w:sz w:val="20"/>
                        <w:szCs w:val="20"/>
                      </w:rPr>
                    </m:ctrlPr>
                  </m:naryPr>
                  <m:sub>
                    <m:r>
                      <w:rPr>
                        <w:rFonts w:ascii="Cambria Math" w:hAnsi="Cambria Math"/>
                        <w:sz w:val="20"/>
                        <w:szCs w:val="20"/>
                      </w:rPr>
                      <m:t>h</m:t>
                    </m:r>
                  </m:sub>
                  <m:sup/>
                  <m:e>
                    <m:sSub>
                      <m:sSubPr>
                        <m:ctrlPr>
                          <w:rPr>
                            <w:rFonts w:ascii="Cambria Math" w:hAnsi="Calibri"/>
                            <w:i/>
                            <w:sz w:val="20"/>
                            <w:szCs w:val="20"/>
                          </w:rPr>
                        </m:ctrlPr>
                      </m:sSubPr>
                      <m:e>
                        <m:r>
                          <w:rPr>
                            <w:rFonts w:ascii="Cambria Math" w:hAnsi="Calibri"/>
                            <w:sz w:val="20"/>
                            <w:szCs w:val="20"/>
                          </w:rPr>
                          <m:t>r</m:t>
                        </m:r>
                      </m:e>
                      <m:sub>
                        <m:r>
                          <w:rPr>
                            <w:rFonts w:ascii="Cambria Math" w:hAnsi="Cambria Math"/>
                            <w:sz w:val="20"/>
                            <w:szCs w:val="20"/>
                          </w:rPr>
                          <m:t>h</m:t>
                        </m:r>
                      </m:sub>
                    </m:sSub>
                  </m:e>
                </m:nary>
                <m:r>
                  <w:rPr>
                    <w:rFonts w:ascii="Cambria Math" w:eastAsia="Times New Roman" w:hAnsi="Calibri"/>
                    <w:sz w:val="20"/>
                    <w:szCs w:val="20"/>
                  </w:rPr>
                  <m:t>+</m:t>
                </m:r>
                <m:r>
                  <w:rPr>
                    <w:rFonts w:ascii="Cambria Math" w:eastAsia="Times New Roman" w:hAnsi="Cambria Math"/>
                    <w:sz w:val="20"/>
                    <w:szCs w:val="20"/>
                  </w:rPr>
                  <m:t>b</m:t>
                </m:r>
              </m:oMath>
            </m:oMathPara>
          </w:p>
        </w:tc>
        <w:tc>
          <w:tcPr>
            <w:tcW w:w="630" w:type="dxa"/>
            <w:vAlign w:val="center"/>
          </w:tcPr>
          <w:p w:rsidR="009B5E65" w:rsidRPr="00BB45CE" w:rsidRDefault="009B5E65" w:rsidP="00086A1F">
            <w:pPr>
              <w:spacing w:after="0" w:line="240" w:lineRule="auto"/>
              <w:jc w:val="center"/>
              <w:rPr>
                <w:sz w:val="20"/>
                <w:szCs w:val="20"/>
              </w:rPr>
            </w:pPr>
            <w:r w:rsidRPr="00BB45CE">
              <w:rPr>
                <w:sz w:val="20"/>
                <w:szCs w:val="20"/>
              </w:rPr>
              <w:t>(8)</w:t>
            </w:r>
          </w:p>
        </w:tc>
      </w:tr>
      <w:tr w:rsidR="009B5E65" w:rsidRPr="00BB45CE" w:rsidTr="00086A1F">
        <w:trPr>
          <w:trHeight w:val="576"/>
        </w:trPr>
        <w:tc>
          <w:tcPr>
            <w:tcW w:w="2790" w:type="dxa"/>
            <w:gridSpan w:val="4"/>
            <w:vAlign w:val="center"/>
          </w:tcPr>
          <w:p w:rsidR="009B5E65" w:rsidRPr="00BB45CE" w:rsidRDefault="009B5E65" w:rsidP="00086A1F">
            <w:pPr>
              <w:spacing w:after="0" w:line="240" w:lineRule="auto"/>
              <w:rPr>
                <w:sz w:val="20"/>
                <w:szCs w:val="20"/>
              </w:rPr>
            </w:pPr>
            <w:r w:rsidRPr="00BB45CE">
              <w:rPr>
                <w:sz w:val="20"/>
                <w:szCs w:val="20"/>
              </w:rPr>
              <w:t>Product market equilibrium</w:t>
            </w:r>
          </w:p>
        </w:tc>
        <w:tc>
          <w:tcPr>
            <w:tcW w:w="5850" w:type="dxa"/>
            <w:gridSpan w:val="4"/>
            <w:vAlign w:val="center"/>
          </w:tcPr>
          <w:p w:rsidR="009B5E65" w:rsidRPr="00BB45CE" w:rsidRDefault="00062AE1" w:rsidP="00086A1F">
            <w:pPr>
              <w:spacing w:after="0" w:line="240" w:lineRule="auto"/>
              <w:jc w:val="center"/>
              <w:rPr>
                <w:sz w:val="20"/>
                <w:szCs w:val="20"/>
              </w:rPr>
            </w:pPr>
            <m:oMathPara>
              <m:oMathParaPr>
                <m:jc m:val="left"/>
              </m:oMathParaPr>
              <m:oMath>
                <m:sSub>
                  <m:sSubPr>
                    <m:ctrlPr>
                      <w:rPr>
                        <w:rFonts w:ascii="Cambria Math" w:hAnsi="Calibri"/>
                        <w:i/>
                        <w:sz w:val="20"/>
                        <w:szCs w:val="20"/>
                      </w:rPr>
                    </m:ctrlPr>
                  </m:sSubPr>
                  <m:e>
                    <m:r>
                      <w:rPr>
                        <w:rFonts w:ascii="Cambria Math" w:hAnsi="Cambria Math"/>
                        <w:sz w:val="20"/>
                        <w:szCs w:val="20"/>
                      </w:rPr>
                      <m:t>Q</m:t>
                    </m:r>
                  </m:e>
                  <m:sub>
                    <m:r>
                      <w:rPr>
                        <w:rFonts w:ascii="Cambria Math" w:hAnsi="Cambria Math"/>
                        <w:sz w:val="20"/>
                        <w:szCs w:val="20"/>
                      </w:rPr>
                      <m:t>ct</m:t>
                    </m:r>
                  </m:sub>
                </m:sSub>
                <m:r>
                  <w:rPr>
                    <w:rFonts w:ascii="Cambria Math" w:hAnsi="Calibri"/>
                    <w:sz w:val="20"/>
                    <w:szCs w:val="20"/>
                  </w:rPr>
                  <m:t>+</m:t>
                </m:r>
                <m:sSub>
                  <m:sSubPr>
                    <m:ctrlPr>
                      <w:rPr>
                        <w:rFonts w:ascii="Cambria Math" w:hAnsi="Calibri"/>
                        <w:i/>
                        <w:sz w:val="20"/>
                        <w:szCs w:val="20"/>
                      </w:rPr>
                    </m:ctrlPr>
                  </m:sSubPr>
                  <m:e>
                    <m:r>
                      <w:rPr>
                        <w:rFonts w:ascii="Cambria Math" w:hAnsi="Calibri"/>
                        <w:sz w:val="20"/>
                        <w:szCs w:val="20"/>
                      </w:rPr>
                      <m:t>M</m:t>
                    </m:r>
                  </m:e>
                  <m:sub>
                    <m:r>
                      <w:rPr>
                        <w:rFonts w:ascii="Cambria Math" w:hAnsi="Calibri"/>
                        <w:sz w:val="20"/>
                        <w:szCs w:val="20"/>
                      </w:rPr>
                      <m:t>ct</m:t>
                    </m:r>
                  </m:sub>
                </m:sSub>
                <m:r>
                  <w:rPr>
                    <w:rFonts w:ascii="Cambria Math" w:hAnsi="Calibri"/>
                    <w:sz w:val="20"/>
                    <w:szCs w:val="20"/>
                  </w:rPr>
                  <m:t>=</m:t>
                </m:r>
                <m:nary>
                  <m:naryPr>
                    <m:chr m:val="∑"/>
                    <m:limLoc m:val="subSup"/>
                    <m:supHide m:val="on"/>
                    <m:ctrlPr>
                      <w:rPr>
                        <w:rFonts w:ascii="Cambria Math" w:eastAsia="Calibri" w:hAnsi="Calibri" w:cs="Times New Roman"/>
                        <w:i/>
                        <w:sz w:val="20"/>
                        <w:szCs w:val="20"/>
                      </w:rPr>
                    </m:ctrlPr>
                  </m:naryPr>
                  <m:sub>
                    <m:r>
                      <w:rPr>
                        <w:rFonts w:ascii="Cambria Math" w:hAnsi="Cambria Math"/>
                        <w:sz w:val="20"/>
                        <w:szCs w:val="20"/>
                      </w:rPr>
                      <m:t>h</m:t>
                    </m:r>
                    <m:ctrlPr>
                      <w:rPr>
                        <w:rFonts w:ascii="Cambria Math" w:hAnsi="Calibri"/>
                        <w:i/>
                        <w:sz w:val="20"/>
                        <w:szCs w:val="20"/>
                      </w:rPr>
                    </m:ctrlPr>
                  </m:sub>
                  <m:sup>
                    <m:ctrlPr>
                      <w:rPr>
                        <w:rFonts w:ascii="Cambria Math" w:hAnsi="Calibri"/>
                        <w:i/>
                        <w:sz w:val="20"/>
                        <w:szCs w:val="20"/>
                      </w:rPr>
                    </m:ctrlPr>
                  </m:sup>
                  <m:e>
                    <m:sSub>
                      <m:sSubPr>
                        <m:ctrlPr>
                          <w:rPr>
                            <w:rFonts w:ascii="Cambria Math" w:hAnsi="Calibri"/>
                            <w:i/>
                            <w:sz w:val="20"/>
                            <w:szCs w:val="20"/>
                          </w:rPr>
                        </m:ctrlPr>
                      </m:sSubPr>
                      <m:e>
                        <m:r>
                          <w:rPr>
                            <w:rFonts w:ascii="Cambria Math" w:hAnsi="Cambria Math"/>
                            <w:sz w:val="20"/>
                            <w:szCs w:val="20"/>
                          </w:rPr>
                          <m:t>D</m:t>
                        </m:r>
                      </m:e>
                      <m:sub>
                        <m:r>
                          <w:rPr>
                            <w:rFonts w:ascii="Cambria Math" w:hAnsi="Cambria Math"/>
                            <w:sz w:val="20"/>
                            <w:szCs w:val="20"/>
                          </w:rPr>
                          <m:t>hct</m:t>
                        </m:r>
                      </m:sub>
                    </m:sSub>
                    <m:ctrlPr>
                      <w:rPr>
                        <w:rFonts w:ascii="Cambria Math" w:hAnsi="Calibri"/>
                        <w:i/>
                        <w:sz w:val="20"/>
                        <w:szCs w:val="20"/>
                      </w:rPr>
                    </m:ctrlPr>
                  </m:e>
                </m:nary>
                <m:r>
                  <w:rPr>
                    <w:rFonts w:ascii="Cambria Math" w:eastAsia="Times New Roman" w:hAnsi="Calibri"/>
                    <w:sz w:val="20"/>
                    <w:szCs w:val="20"/>
                  </w:rPr>
                  <m:t>+</m:t>
                </m:r>
                <m:sSub>
                  <m:sSubPr>
                    <m:ctrlPr>
                      <w:rPr>
                        <w:rFonts w:ascii="Cambria Math" w:eastAsia="Times New Roman" w:hAnsi="Calibri"/>
                        <w:i/>
                        <w:sz w:val="20"/>
                        <w:szCs w:val="20"/>
                      </w:rPr>
                    </m:ctrlPr>
                  </m:sSubPr>
                  <m:e>
                    <m:r>
                      <w:rPr>
                        <w:rFonts w:ascii="Cambria Math" w:eastAsia="Times New Roman" w:hAnsi="Cambria Math"/>
                        <w:sz w:val="20"/>
                        <w:szCs w:val="20"/>
                      </w:rPr>
                      <m:t>I</m:t>
                    </m:r>
                  </m:e>
                  <m:sub>
                    <m:r>
                      <w:rPr>
                        <w:rFonts w:ascii="Cambria Math" w:eastAsia="Times New Roman" w:hAnsi="Cambria Math"/>
                        <w:sz w:val="20"/>
                        <w:szCs w:val="20"/>
                      </w:rPr>
                      <m:t>ct</m:t>
                    </m:r>
                  </m:sub>
                </m:sSub>
                <m:r>
                  <w:rPr>
                    <w:rFonts w:ascii="Cambria Math" w:eastAsia="Times New Roman" w:hAnsi="Calibri"/>
                    <w:sz w:val="20"/>
                    <w:szCs w:val="20"/>
                  </w:rPr>
                  <m:t>+</m:t>
                </m:r>
                <m:sSub>
                  <m:sSubPr>
                    <m:ctrlPr>
                      <w:rPr>
                        <w:rFonts w:ascii="Cambria Math" w:eastAsia="Times New Roman" w:hAnsi="Calibri"/>
                        <w:i/>
                        <w:sz w:val="20"/>
                        <w:szCs w:val="20"/>
                      </w:rPr>
                    </m:ctrlPr>
                  </m:sSubPr>
                  <m:e>
                    <m:r>
                      <w:rPr>
                        <w:rFonts w:ascii="Cambria Math" w:eastAsia="Times New Roman" w:hAnsi="Calibri"/>
                        <w:sz w:val="20"/>
                        <w:szCs w:val="20"/>
                      </w:rPr>
                      <m:t>X</m:t>
                    </m:r>
                  </m:e>
                  <m:sub>
                    <m:r>
                      <w:rPr>
                        <w:rFonts w:ascii="Cambria Math" w:eastAsia="Times New Roman" w:hAnsi="Calibri"/>
                        <w:sz w:val="20"/>
                        <w:szCs w:val="20"/>
                      </w:rPr>
                      <m:t>ct</m:t>
                    </m:r>
                  </m:sub>
                </m:sSub>
              </m:oMath>
            </m:oMathPara>
          </w:p>
        </w:tc>
        <w:tc>
          <w:tcPr>
            <w:tcW w:w="630" w:type="dxa"/>
            <w:vAlign w:val="center"/>
          </w:tcPr>
          <w:p w:rsidR="009B5E65" w:rsidRPr="00BB45CE" w:rsidRDefault="009B5E65" w:rsidP="00086A1F">
            <w:pPr>
              <w:spacing w:after="0" w:line="240" w:lineRule="auto"/>
              <w:jc w:val="center"/>
              <w:rPr>
                <w:sz w:val="20"/>
                <w:szCs w:val="20"/>
              </w:rPr>
            </w:pPr>
            <w:r w:rsidRPr="00BB45CE">
              <w:rPr>
                <w:sz w:val="20"/>
                <w:szCs w:val="20"/>
              </w:rPr>
              <w:t>(9)</w:t>
            </w:r>
          </w:p>
        </w:tc>
      </w:tr>
      <w:tr w:rsidR="009B5E65" w:rsidRPr="00BB45CE" w:rsidTr="00086A1F">
        <w:trPr>
          <w:trHeight w:val="576"/>
        </w:trPr>
        <w:tc>
          <w:tcPr>
            <w:tcW w:w="2790" w:type="dxa"/>
            <w:gridSpan w:val="4"/>
            <w:vAlign w:val="center"/>
          </w:tcPr>
          <w:p w:rsidR="009B5E65" w:rsidRPr="00BB45CE" w:rsidRDefault="009B5E65" w:rsidP="00086A1F">
            <w:pPr>
              <w:spacing w:after="0" w:line="240" w:lineRule="auto"/>
              <w:rPr>
                <w:sz w:val="20"/>
                <w:szCs w:val="20"/>
              </w:rPr>
            </w:pPr>
            <w:r>
              <w:rPr>
                <w:sz w:val="20"/>
                <w:szCs w:val="20"/>
              </w:rPr>
              <w:t>Factor</w:t>
            </w:r>
            <w:r w:rsidRPr="00BB45CE">
              <w:rPr>
                <w:sz w:val="20"/>
                <w:szCs w:val="20"/>
              </w:rPr>
              <w:t xml:space="preserve"> market equilibrium</w:t>
            </w:r>
          </w:p>
        </w:tc>
        <w:tc>
          <w:tcPr>
            <w:tcW w:w="5850" w:type="dxa"/>
            <w:gridSpan w:val="4"/>
            <w:vAlign w:val="center"/>
          </w:tcPr>
          <w:p w:rsidR="009B5E65" w:rsidRPr="00BB45CE" w:rsidRDefault="00062AE1" w:rsidP="00086A1F">
            <w:pPr>
              <w:spacing w:after="0" w:line="240" w:lineRule="auto"/>
              <w:jc w:val="right"/>
              <w:rPr>
                <w:sz w:val="20"/>
                <w:szCs w:val="20"/>
              </w:rPr>
            </w:pPr>
            <m:oMathPara>
              <m:oMathParaPr>
                <m:jc m:val="left"/>
              </m:oMathParaPr>
              <m:oMath>
                <m:nary>
                  <m:naryPr>
                    <m:chr m:val="∑"/>
                    <m:limLoc m:val="subSup"/>
                    <m:supHide m:val="on"/>
                    <m:ctrlPr>
                      <w:rPr>
                        <w:rFonts w:ascii="Cambria Math" w:eastAsia="Calibri" w:hAnsi="Calibri" w:cs="Times New Roman"/>
                        <w:i/>
                        <w:sz w:val="20"/>
                        <w:szCs w:val="20"/>
                      </w:rPr>
                    </m:ctrlPr>
                  </m:naryPr>
                  <m:sub>
                    <m:r>
                      <w:rPr>
                        <w:rFonts w:ascii="Cambria Math" w:eastAsia="Calibri" w:hAnsi="Calibri" w:cs="Times New Roman"/>
                        <w:sz w:val="20"/>
                        <w:szCs w:val="20"/>
                      </w:rPr>
                      <m:t>c</m:t>
                    </m:r>
                    <m:ctrlPr>
                      <w:rPr>
                        <w:rFonts w:ascii="Cambria Math" w:hAnsi="Calibri"/>
                        <w:i/>
                        <w:sz w:val="20"/>
                        <w:szCs w:val="20"/>
                      </w:rPr>
                    </m:ctrlPr>
                  </m:sub>
                  <m:sup>
                    <m:ctrlPr>
                      <w:rPr>
                        <w:rFonts w:ascii="Cambria Math" w:hAnsi="Calibri"/>
                        <w:i/>
                        <w:sz w:val="20"/>
                        <w:szCs w:val="20"/>
                      </w:rPr>
                    </m:ctrlPr>
                  </m:sup>
                  <m:e>
                    <m:sSub>
                      <m:sSubPr>
                        <m:ctrlPr>
                          <w:rPr>
                            <w:rFonts w:ascii="Cambria Math" w:hAnsi="Calibri"/>
                            <w:i/>
                            <w:sz w:val="20"/>
                            <w:szCs w:val="20"/>
                          </w:rPr>
                        </m:ctrlPr>
                      </m:sSubPr>
                      <m:e>
                        <m:r>
                          <w:rPr>
                            <w:rFonts w:ascii="Cambria Math" w:hAnsi="Cambria Math"/>
                            <w:sz w:val="20"/>
                            <w:szCs w:val="20"/>
                          </w:rPr>
                          <m:t>F</m:t>
                        </m:r>
                      </m:e>
                      <m:sub>
                        <m:r>
                          <w:rPr>
                            <w:rFonts w:ascii="Cambria Math" w:hAnsi="Cambria Math"/>
                            <w:sz w:val="20"/>
                            <w:szCs w:val="20"/>
                          </w:rPr>
                          <m:t>fct</m:t>
                        </m:r>
                      </m:sub>
                    </m:sSub>
                    <m:r>
                      <w:rPr>
                        <w:rFonts w:ascii="Cambria Math" w:hAnsi="Calibri"/>
                        <w:sz w:val="20"/>
                        <w:szCs w:val="20"/>
                      </w:rPr>
                      <m:t>=</m:t>
                    </m:r>
                    <m:sSub>
                      <m:sSubPr>
                        <m:ctrlPr>
                          <w:rPr>
                            <w:rFonts w:ascii="Cambria Math" w:hAnsi="Calibri"/>
                            <w:i/>
                            <w:sz w:val="20"/>
                            <w:szCs w:val="20"/>
                          </w:rPr>
                        </m:ctrlPr>
                      </m:sSubPr>
                      <m:e>
                        <m:r>
                          <w:rPr>
                            <w:rFonts w:ascii="Cambria Math" w:hAnsi="Calibri"/>
                            <w:sz w:val="20"/>
                            <w:szCs w:val="20"/>
                          </w:rPr>
                          <m:t>s</m:t>
                        </m:r>
                      </m:e>
                      <m:sub>
                        <m:r>
                          <w:rPr>
                            <w:rFonts w:ascii="Cambria Math" w:hAnsi="Calibri"/>
                            <w:sz w:val="20"/>
                            <w:szCs w:val="20"/>
                          </w:rPr>
                          <m:t>ft</m:t>
                        </m:r>
                      </m:sub>
                    </m:sSub>
                    <m:ctrlPr>
                      <w:rPr>
                        <w:rFonts w:ascii="Cambria Math" w:hAnsi="Calibri"/>
                        <w:i/>
                        <w:sz w:val="20"/>
                        <w:szCs w:val="20"/>
                      </w:rPr>
                    </m:ctrlPr>
                  </m:e>
                </m:nary>
              </m:oMath>
            </m:oMathPara>
          </w:p>
        </w:tc>
        <w:tc>
          <w:tcPr>
            <w:tcW w:w="630" w:type="dxa"/>
            <w:vAlign w:val="center"/>
          </w:tcPr>
          <w:p w:rsidR="009B5E65" w:rsidRPr="00BB45CE" w:rsidRDefault="009B5E65" w:rsidP="00086A1F">
            <w:pPr>
              <w:spacing w:after="0" w:line="240" w:lineRule="auto"/>
              <w:jc w:val="center"/>
              <w:rPr>
                <w:sz w:val="20"/>
                <w:szCs w:val="20"/>
              </w:rPr>
            </w:pPr>
            <w:r w:rsidRPr="00BB45CE">
              <w:rPr>
                <w:sz w:val="20"/>
                <w:szCs w:val="20"/>
              </w:rPr>
              <w:t>(10)</w:t>
            </w:r>
          </w:p>
        </w:tc>
      </w:tr>
      <w:tr w:rsidR="009B5E65" w:rsidRPr="00BB45CE" w:rsidTr="00086A1F">
        <w:trPr>
          <w:trHeight w:val="576"/>
        </w:trPr>
        <w:tc>
          <w:tcPr>
            <w:tcW w:w="2790" w:type="dxa"/>
            <w:gridSpan w:val="4"/>
            <w:vAlign w:val="center"/>
          </w:tcPr>
          <w:p w:rsidR="009B5E65" w:rsidRPr="00BB45CE" w:rsidRDefault="009B5E65" w:rsidP="00086A1F">
            <w:pPr>
              <w:spacing w:after="0" w:line="240" w:lineRule="auto"/>
              <w:rPr>
                <w:sz w:val="20"/>
                <w:szCs w:val="20"/>
              </w:rPr>
            </w:pPr>
            <w:r>
              <w:rPr>
                <w:sz w:val="20"/>
                <w:szCs w:val="20"/>
              </w:rPr>
              <w:t>Land and labor expansion</w:t>
            </w:r>
          </w:p>
        </w:tc>
        <w:tc>
          <w:tcPr>
            <w:tcW w:w="3960" w:type="dxa"/>
            <w:gridSpan w:val="3"/>
            <w:vAlign w:val="center"/>
          </w:tcPr>
          <w:p w:rsidR="009B5E65" w:rsidRPr="00BB45CE" w:rsidRDefault="00062AE1" w:rsidP="00086A1F">
            <w:pPr>
              <w:spacing w:after="0" w:line="240" w:lineRule="auto"/>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ft</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t-1</m:t>
                    </m:r>
                  </m:sub>
                </m:sSub>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1+</m:t>
                    </m:r>
                    <m:sSub>
                      <m:sSubPr>
                        <m:ctrlPr>
                          <w:rPr>
                            <w:rFonts w:ascii="Cambria Math" w:hAnsi="Cambria Math"/>
                            <w:i/>
                            <w:sz w:val="20"/>
                            <w:szCs w:val="20"/>
                          </w:rPr>
                        </m:ctrlPr>
                      </m:sSubPr>
                      <m:e>
                        <m:r>
                          <w:rPr>
                            <w:rFonts w:ascii="Cambria Math" w:hAnsi="Cambria Math"/>
                            <w:sz w:val="20"/>
                            <w:szCs w:val="20"/>
                          </w:rPr>
                          <m:t>φ</m:t>
                        </m:r>
                      </m:e>
                      <m:sub>
                        <m:r>
                          <w:rPr>
                            <w:rFonts w:ascii="Cambria Math" w:hAnsi="Cambria Math"/>
                            <w:sz w:val="20"/>
                            <w:szCs w:val="20"/>
                          </w:rPr>
                          <m:t>f</m:t>
                        </m:r>
                      </m:sub>
                    </m:sSub>
                  </m:e>
                </m:d>
              </m:oMath>
            </m:oMathPara>
          </w:p>
        </w:tc>
        <w:tc>
          <w:tcPr>
            <w:tcW w:w="1890" w:type="dxa"/>
            <w:vAlign w:val="center"/>
          </w:tcPr>
          <w:p w:rsidR="009B5E65" w:rsidRPr="00BB45CE" w:rsidRDefault="009B5E65" w:rsidP="00086A1F">
            <w:pPr>
              <w:spacing w:after="0" w:line="240" w:lineRule="auto"/>
              <w:rPr>
                <w:sz w:val="20"/>
                <w:szCs w:val="20"/>
              </w:rPr>
            </w:pPr>
            <w:r w:rsidRPr="00DC2E83">
              <w:rPr>
                <w:i/>
                <w:sz w:val="20"/>
                <w:szCs w:val="20"/>
              </w:rPr>
              <w:t>f</w:t>
            </w:r>
            <w:r>
              <w:rPr>
                <w:sz w:val="20"/>
                <w:szCs w:val="20"/>
              </w:rPr>
              <w:t xml:space="preserve"> is land and labor</w:t>
            </w:r>
          </w:p>
        </w:tc>
        <w:tc>
          <w:tcPr>
            <w:tcW w:w="630" w:type="dxa"/>
            <w:vAlign w:val="center"/>
          </w:tcPr>
          <w:p w:rsidR="009B5E65" w:rsidRPr="00BB45CE" w:rsidRDefault="009B5E65" w:rsidP="00086A1F">
            <w:pPr>
              <w:spacing w:after="0" w:line="240" w:lineRule="auto"/>
              <w:jc w:val="center"/>
              <w:rPr>
                <w:sz w:val="20"/>
                <w:szCs w:val="20"/>
              </w:rPr>
            </w:pPr>
            <w:r>
              <w:rPr>
                <w:sz w:val="20"/>
                <w:szCs w:val="20"/>
              </w:rPr>
              <w:t>(11)</w:t>
            </w:r>
          </w:p>
        </w:tc>
      </w:tr>
      <w:tr w:rsidR="009B5E65" w:rsidRPr="00BB45CE" w:rsidTr="00086A1F">
        <w:trPr>
          <w:trHeight w:val="576"/>
        </w:trPr>
        <w:tc>
          <w:tcPr>
            <w:tcW w:w="2790" w:type="dxa"/>
            <w:gridSpan w:val="4"/>
            <w:vAlign w:val="center"/>
          </w:tcPr>
          <w:p w:rsidR="009B5E65" w:rsidRPr="00BB45CE" w:rsidRDefault="009B5E65" w:rsidP="00086A1F">
            <w:pPr>
              <w:spacing w:after="0" w:line="240" w:lineRule="auto"/>
              <w:rPr>
                <w:sz w:val="20"/>
                <w:szCs w:val="20"/>
              </w:rPr>
            </w:pPr>
            <w:r>
              <w:rPr>
                <w:sz w:val="20"/>
                <w:szCs w:val="20"/>
              </w:rPr>
              <w:t>Capital accumulation</w:t>
            </w:r>
          </w:p>
        </w:tc>
        <w:tc>
          <w:tcPr>
            <w:tcW w:w="3960" w:type="dxa"/>
            <w:gridSpan w:val="3"/>
            <w:vAlign w:val="center"/>
          </w:tcPr>
          <w:p w:rsidR="009B5E65" w:rsidRPr="00BB45CE" w:rsidRDefault="00062AE1" w:rsidP="00086A1F">
            <w:pPr>
              <w:spacing w:after="0" w:line="240" w:lineRule="auto"/>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ft</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t-1</m:t>
                    </m:r>
                  </m:sub>
                </m:sSub>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1-η</m:t>
                    </m:r>
                  </m:e>
                </m:d>
                <m:r>
                  <w:rPr>
                    <w:rFonts w:ascii="Cambria Math" w:hAnsi="Cambria Math"/>
                    <w:sz w:val="20"/>
                    <w:szCs w:val="20"/>
                  </w:rPr>
                  <m:t>+</m:t>
                </m:r>
                <m:nary>
                  <m:naryPr>
                    <m:chr m:val="∑"/>
                    <m:limLoc m:val="subSup"/>
                    <m:supHide m:val="on"/>
                    <m:ctrlPr>
                      <w:rPr>
                        <w:rFonts w:ascii="Cambria Math" w:hAnsi="Cambria Math"/>
                        <w:i/>
                        <w:sz w:val="20"/>
                        <w:szCs w:val="20"/>
                      </w:rPr>
                    </m:ctrlPr>
                  </m:naryPr>
                  <m:sub>
                    <m:r>
                      <w:rPr>
                        <w:rFonts w:ascii="Cambria Math" w:hAnsi="Cambria Math"/>
                        <w:sz w:val="20"/>
                        <w:szCs w:val="20"/>
                      </w:rPr>
                      <m:t>c</m:t>
                    </m:r>
                  </m:sub>
                  <m:sup/>
                  <m:e>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ct-1</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ct-1</m:t>
                            </m:r>
                          </m:sub>
                        </m:sSub>
                      </m:num>
                      <m:den>
                        <m:r>
                          <w:rPr>
                            <w:rFonts w:ascii="Cambria Math" w:hAnsi="Cambria Math"/>
                            <w:sz w:val="20"/>
                            <w:szCs w:val="20"/>
                          </w:rPr>
                          <m:t>κ</m:t>
                        </m:r>
                      </m:den>
                    </m:f>
                  </m:e>
                </m:nary>
              </m:oMath>
            </m:oMathPara>
          </w:p>
        </w:tc>
        <w:tc>
          <w:tcPr>
            <w:tcW w:w="1890" w:type="dxa"/>
            <w:vAlign w:val="center"/>
          </w:tcPr>
          <w:p w:rsidR="009B5E65" w:rsidRPr="00BB45CE" w:rsidRDefault="009B5E65" w:rsidP="00086A1F">
            <w:pPr>
              <w:spacing w:after="0" w:line="240" w:lineRule="auto"/>
              <w:rPr>
                <w:sz w:val="20"/>
                <w:szCs w:val="20"/>
              </w:rPr>
            </w:pPr>
            <w:r w:rsidRPr="00DC2E83">
              <w:rPr>
                <w:i/>
                <w:sz w:val="20"/>
                <w:szCs w:val="20"/>
              </w:rPr>
              <w:t>f</w:t>
            </w:r>
            <w:r>
              <w:rPr>
                <w:sz w:val="20"/>
                <w:szCs w:val="20"/>
              </w:rPr>
              <w:t xml:space="preserve"> is capital</w:t>
            </w:r>
          </w:p>
        </w:tc>
        <w:tc>
          <w:tcPr>
            <w:tcW w:w="630" w:type="dxa"/>
            <w:vAlign w:val="center"/>
          </w:tcPr>
          <w:p w:rsidR="009B5E65" w:rsidRPr="00BB45CE" w:rsidRDefault="009B5E65" w:rsidP="00086A1F">
            <w:pPr>
              <w:spacing w:after="0" w:line="240" w:lineRule="auto"/>
              <w:jc w:val="center"/>
              <w:rPr>
                <w:sz w:val="20"/>
                <w:szCs w:val="20"/>
              </w:rPr>
            </w:pPr>
            <w:r>
              <w:rPr>
                <w:sz w:val="20"/>
                <w:szCs w:val="20"/>
              </w:rPr>
              <w:t>(12)</w:t>
            </w:r>
          </w:p>
        </w:tc>
      </w:tr>
      <w:tr w:rsidR="009B5E65" w:rsidRPr="00BB45CE" w:rsidTr="00086A1F">
        <w:trPr>
          <w:trHeight w:val="576"/>
        </w:trPr>
        <w:tc>
          <w:tcPr>
            <w:tcW w:w="2790" w:type="dxa"/>
            <w:gridSpan w:val="4"/>
            <w:vAlign w:val="center"/>
          </w:tcPr>
          <w:p w:rsidR="009B5E65" w:rsidRPr="00BB45CE" w:rsidRDefault="009B5E65" w:rsidP="00086A1F">
            <w:pPr>
              <w:spacing w:after="0" w:line="240" w:lineRule="auto"/>
              <w:rPr>
                <w:sz w:val="20"/>
                <w:szCs w:val="20"/>
              </w:rPr>
            </w:pPr>
            <w:r>
              <w:rPr>
                <w:sz w:val="20"/>
                <w:szCs w:val="20"/>
              </w:rPr>
              <w:t>Technical change</w:t>
            </w:r>
          </w:p>
        </w:tc>
        <w:tc>
          <w:tcPr>
            <w:tcW w:w="5850" w:type="dxa"/>
            <w:gridSpan w:val="4"/>
            <w:vAlign w:val="center"/>
          </w:tcPr>
          <w:p w:rsidR="009B5E65" w:rsidRPr="00BB45CE" w:rsidRDefault="00062AE1" w:rsidP="00086A1F">
            <w:pPr>
              <w:spacing w:after="0" w:line="240" w:lineRule="auto"/>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ct</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ct-1</m:t>
                    </m:r>
                  </m:sub>
                </m:sSub>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1+</m:t>
                    </m:r>
                    <m:sSub>
                      <m:sSubPr>
                        <m:ctrlPr>
                          <w:rPr>
                            <w:rFonts w:ascii="Cambria Math" w:hAnsi="Cambria Math"/>
                            <w:i/>
                            <w:sz w:val="20"/>
                            <w:szCs w:val="20"/>
                          </w:rPr>
                        </m:ctrlPr>
                      </m:sSubPr>
                      <m:e>
                        <m:r>
                          <w:rPr>
                            <w:rFonts w:ascii="Cambria Math" w:hAnsi="Cambria Math"/>
                            <w:sz w:val="20"/>
                            <w:szCs w:val="20"/>
                          </w:rPr>
                          <m:t>γ</m:t>
                        </m:r>
                      </m:e>
                      <m:sub>
                        <m:r>
                          <w:rPr>
                            <w:rFonts w:ascii="Cambria Math" w:hAnsi="Cambria Math"/>
                            <w:sz w:val="20"/>
                            <w:szCs w:val="20"/>
                          </w:rPr>
                          <m:t>c</m:t>
                        </m:r>
                      </m:sub>
                    </m:sSub>
                  </m:e>
                </m:d>
              </m:oMath>
            </m:oMathPara>
          </w:p>
        </w:tc>
        <w:tc>
          <w:tcPr>
            <w:tcW w:w="630" w:type="dxa"/>
            <w:vAlign w:val="center"/>
          </w:tcPr>
          <w:p w:rsidR="009B5E65" w:rsidRPr="00BB45CE" w:rsidRDefault="009B5E65" w:rsidP="00086A1F">
            <w:pPr>
              <w:spacing w:after="0" w:line="240" w:lineRule="auto"/>
              <w:jc w:val="center"/>
              <w:rPr>
                <w:sz w:val="20"/>
                <w:szCs w:val="20"/>
              </w:rPr>
            </w:pPr>
            <w:r>
              <w:rPr>
                <w:sz w:val="20"/>
                <w:szCs w:val="20"/>
              </w:rPr>
              <w:t>(13)</w:t>
            </w:r>
          </w:p>
        </w:tc>
      </w:tr>
      <w:tr w:rsidR="009B5E65" w:rsidRPr="00BB45CE" w:rsidTr="00086A1F">
        <w:trPr>
          <w:trHeight w:hRule="exact" w:val="115"/>
        </w:trPr>
        <w:tc>
          <w:tcPr>
            <w:tcW w:w="383" w:type="dxa"/>
            <w:gridSpan w:val="2"/>
          </w:tcPr>
          <w:p w:rsidR="009B5E65" w:rsidRPr="00BB45CE" w:rsidRDefault="009B5E65" w:rsidP="00086A1F">
            <w:pPr>
              <w:spacing w:after="0" w:line="240" w:lineRule="auto"/>
              <w:jc w:val="center"/>
              <w:rPr>
                <w:rFonts w:eastAsiaTheme="minorEastAsia"/>
                <w:sz w:val="20"/>
                <w:szCs w:val="20"/>
              </w:rPr>
            </w:pPr>
          </w:p>
        </w:tc>
        <w:tc>
          <w:tcPr>
            <w:tcW w:w="4117" w:type="dxa"/>
            <w:gridSpan w:val="3"/>
          </w:tcPr>
          <w:p w:rsidR="009B5E65" w:rsidRPr="00BB45CE" w:rsidRDefault="009B5E65" w:rsidP="00086A1F">
            <w:pPr>
              <w:spacing w:after="0" w:line="240" w:lineRule="auto"/>
              <w:rPr>
                <w:rFonts w:eastAsiaTheme="minorEastAsia"/>
                <w:sz w:val="20"/>
                <w:szCs w:val="20"/>
              </w:rPr>
            </w:pPr>
          </w:p>
        </w:tc>
        <w:tc>
          <w:tcPr>
            <w:tcW w:w="450" w:type="dxa"/>
          </w:tcPr>
          <w:p w:rsidR="009B5E65" w:rsidRPr="00BB45CE" w:rsidRDefault="009B5E65" w:rsidP="00086A1F">
            <w:pPr>
              <w:spacing w:after="0" w:line="240" w:lineRule="auto"/>
              <w:jc w:val="center"/>
              <w:rPr>
                <w:rFonts w:eastAsiaTheme="minorEastAsia"/>
                <w:sz w:val="20"/>
                <w:szCs w:val="20"/>
              </w:rPr>
            </w:pPr>
          </w:p>
        </w:tc>
        <w:tc>
          <w:tcPr>
            <w:tcW w:w="4320" w:type="dxa"/>
            <w:gridSpan w:val="3"/>
          </w:tcPr>
          <w:p w:rsidR="009B5E65" w:rsidRPr="00BB45CE" w:rsidRDefault="009B5E65" w:rsidP="00086A1F">
            <w:pPr>
              <w:spacing w:after="0" w:line="240" w:lineRule="auto"/>
              <w:rPr>
                <w:rFonts w:eastAsiaTheme="minorEastAsia"/>
                <w:sz w:val="20"/>
                <w:szCs w:val="20"/>
              </w:rPr>
            </w:pPr>
          </w:p>
        </w:tc>
      </w:tr>
      <w:tr w:rsidR="009B5E65" w:rsidRPr="00BB45CE" w:rsidTr="00086A1F">
        <w:tc>
          <w:tcPr>
            <w:tcW w:w="4500" w:type="dxa"/>
            <w:gridSpan w:val="5"/>
          </w:tcPr>
          <w:p w:rsidR="009B5E65" w:rsidRPr="00BB45CE" w:rsidRDefault="009B5E65" w:rsidP="00086A1F">
            <w:pPr>
              <w:spacing w:after="0" w:line="240" w:lineRule="auto"/>
              <w:rPr>
                <w:rFonts w:eastAsiaTheme="minorEastAsia"/>
                <w:sz w:val="20"/>
                <w:szCs w:val="20"/>
                <w:u w:val="single"/>
              </w:rPr>
            </w:pPr>
            <w:r w:rsidRPr="00BB45CE">
              <w:rPr>
                <w:rFonts w:eastAsiaTheme="minorEastAsia"/>
                <w:sz w:val="20"/>
                <w:szCs w:val="20"/>
                <w:u w:val="single"/>
              </w:rPr>
              <w:t>Subscripts</w:t>
            </w:r>
          </w:p>
        </w:tc>
        <w:tc>
          <w:tcPr>
            <w:tcW w:w="4140" w:type="dxa"/>
            <w:gridSpan w:val="3"/>
          </w:tcPr>
          <w:p w:rsidR="009B5E65" w:rsidRPr="00BB45CE" w:rsidRDefault="009B5E65" w:rsidP="00086A1F">
            <w:pPr>
              <w:spacing w:after="0" w:line="240" w:lineRule="auto"/>
              <w:rPr>
                <w:rFonts w:eastAsiaTheme="minorEastAsia"/>
                <w:sz w:val="20"/>
                <w:szCs w:val="20"/>
                <w:u w:val="single"/>
              </w:rPr>
            </w:pPr>
            <w:r w:rsidRPr="00BB45CE">
              <w:rPr>
                <w:rFonts w:eastAsiaTheme="minorEastAsia"/>
                <w:sz w:val="20"/>
                <w:szCs w:val="20"/>
                <w:u w:val="single"/>
              </w:rPr>
              <w:t>Exogenous variables</w:t>
            </w:r>
          </w:p>
        </w:tc>
        <w:tc>
          <w:tcPr>
            <w:tcW w:w="630" w:type="dxa"/>
          </w:tcPr>
          <w:p w:rsidR="009B5E65" w:rsidRPr="00BB45CE" w:rsidRDefault="009B5E65" w:rsidP="00086A1F">
            <w:pPr>
              <w:spacing w:after="0" w:line="240" w:lineRule="auto"/>
              <w:rPr>
                <w:rFonts w:eastAsiaTheme="minorEastAsia"/>
                <w:sz w:val="20"/>
                <w:szCs w:val="20"/>
                <w:u w:val="single"/>
              </w:rPr>
            </w:pPr>
          </w:p>
        </w:tc>
      </w:tr>
      <w:tr w:rsidR="009B5E65" w:rsidRPr="00BB45CE" w:rsidTr="00086A1F">
        <w:tc>
          <w:tcPr>
            <w:tcW w:w="360" w:type="dxa"/>
          </w:tcPr>
          <w:p w:rsidR="009B5E65" w:rsidRPr="00BB45CE" w:rsidRDefault="009B5E65" w:rsidP="00086A1F">
            <w:pPr>
              <w:spacing w:after="0" w:line="240" w:lineRule="auto"/>
              <w:jc w:val="center"/>
              <w:rPr>
                <w:rFonts w:ascii="Cambria Math" w:hAnsi="Cambria Math"/>
                <w:i/>
                <w:sz w:val="20"/>
                <w:szCs w:val="20"/>
              </w:rPr>
            </w:pPr>
            <w:r>
              <w:rPr>
                <w:rFonts w:ascii="Cambria Math" w:eastAsiaTheme="minorEastAsia" w:hAnsi="Cambria Math"/>
                <w:i/>
                <w:sz w:val="20"/>
                <w:szCs w:val="20"/>
              </w:rPr>
              <w:t>c</w:t>
            </w:r>
          </w:p>
        </w:tc>
        <w:tc>
          <w:tcPr>
            <w:tcW w:w="4140" w:type="dxa"/>
            <w:gridSpan w:val="4"/>
          </w:tcPr>
          <w:p w:rsidR="009B5E65" w:rsidRPr="00BB45CE" w:rsidRDefault="009B5E65" w:rsidP="00086A1F">
            <w:pPr>
              <w:spacing w:after="0" w:line="240" w:lineRule="auto"/>
              <w:rPr>
                <w:sz w:val="20"/>
                <w:szCs w:val="20"/>
              </w:rPr>
            </w:pPr>
            <w:r>
              <w:rPr>
                <w:rFonts w:eastAsiaTheme="minorEastAsia"/>
                <w:sz w:val="20"/>
                <w:szCs w:val="20"/>
              </w:rPr>
              <w:t>Commodities or economic sectors</w:t>
            </w:r>
          </w:p>
        </w:tc>
        <w:tc>
          <w:tcPr>
            <w:tcW w:w="450" w:type="dxa"/>
          </w:tcPr>
          <w:p w:rsidR="009B5E65" w:rsidRPr="00BB45CE" w:rsidRDefault="009B5E65" w:rsidP="00086A1F">
            <w:pPr>
              <w:spacing w:after="0" w:line="240" w:lineRule="auto"/>
              <w:jc w:val="center"/>
              <w:rPr>
                <w:rFonts w:ascii="Cambria Math" w:hAnsi="Cambria Math"/>
                <w:i/>
                <w:sz w:val="20"/>
                <w:szCs w:val="20"/>
              </w:rPr>
            </w:pPr>
            <w:r>
              <w:rPr>
                <w:rFonts w:ascii="Cambria Math" w:hAnsi="Cambria Math"/>
                <w:i/>
                <w:sz w:val="20"/>
                <w:szCs w:val="20"/>
              </w:rPr>
              <w:t>b</w:t>
            </w:r>
          </w:p>
        </w:tc>
        <w:tc>
          <w:tcPr>
            <w:tcW w:w="4320" w:type="dxa"/>
            <w:gridSpan w:val="3"/>
          </w:tcPr>
          <w:p w:rsidR="009B5E65" w:rsidRPr="00BB45CE" w:rsidRDefault="009B5E65" w:rsidP="00086A1F">
            <w:pPr>
              <w:spacing w:after="0" w:line="240" w:lineRule="auto"/>
              <w:rPr>
                <w:sz w:val="20"/>
                <w:szCs w:val="20"/>
              </w:rPr>
            </w:pPr>
            <w:r w:rsidRPr="00BB45CE">
              <w:rPr>
                <w:sz w:val="20"/>
                <w:szCs w:val="20"/>
              </w:rPr>
              <w:t>Foreign savings balance</w:t>
            </w:r>
            <w:r>
              <w:rPr>
                <w:sz w:val="20"/>
                <w:szCs w:val="20"/>
              </w:rPr>
              <w:t xml:space="preserve"> (foreign currency units)</w:t>
            </w:r>
          </w:p>
        </w:tc>
      </w:tr>
      <w:tr w:rsidR="009B5E65" w:rsidRPr="00BB45CE" w:rsidTr="00086A1F">
        <w:tc>
          <w:tcPr>
            <w:tcW w:w="360" w:type="dxa"/>
          </w:tcPr>
          <w:p w:rsidR="009B5E65" w:rsidRPr="00BB45CE" w:rsidRDefault="009B5E65" w:rsidP="00086A1F">
            <w:pPr>
              <w:spacing w:after="0" w:line="240" w:lineRule="auto"/>
              <w:jc w:val="center"/>
              <w:rPr>
                <w:rFonts w:ascii="Cambria Math" w:hAnsi="Cambria Math"/>
                <w:i/>
                <w:sz w:val="20"/>
                <w:szCs w:val="20"/>
              </w:rPr>
            </w:pPr>
            <w:r w:rsidRPr="00BB45CE">
              <w:rPr>
                <w:rFonts w:ascii="Cambria Math" w:hAnsi="Cambria Math"/>
                <w:i/>
                <w:sz w:val="20"/>
                <w:szCs w:val="20"/>
              </w:rPr>
              <w:t>f</w:t>
            </w:r>
          </w:p>
        </w:tc>
        <w:tc>
          <w:tcPr>
            <w:tcW w:w="4140" w:type="dxa"/>
            <w:gridSpan w:val="4"/>
          </w:tcPr>
          <w:p w:rsidR="009B5E65" w:rsidRPr="00BB45CE" w:rsidRDefault="009B5E65" w:rsidP="00086A1F">
            <w:pPr>
              <w:spacing w:after="0" w:line="240" w:lineRule="auto"/>
              <w:rPr>
                <w:sz w:val="20"/>
                <w:szCs w:val="20"/>
              </w:rPr>
            </w:pPr>
            <w:r w:rsidRPr="00BB45CE">
              <w:rPr>
                <w:rFonts w:eastAsiaTheme="minorEastAsia"/>
                <w:sz w:val="20"/>
                <w:szCs w:val="20"/>
              </w:rPr>
              <w:t>Factor groups (land, labor and capital)</w:t>
            </w:r>
          </w:p>
        </w:tc>
        <w:tc>
          <w:tcPr>
            <w:tcW w:w="450" w:type="dxa"/>
          </w:tcPr>
          <w:p w:rsidR="009B5E65" w:rsidRPr="00BB45CE" w:rsidRDefault="009B5E65" w:rsidP="00086A1F">
            <w:pPr>
              <w:spacing w:after="0" w:line="240" w:lineRule="auto"/>
              <w:jc w:val="center"/>
              <w:rPr>
                <w:rFonts w:ascii="Cambria Math" w:hAnsi="Cambria Math"/>
                <w:i/>
                <w:sz w:val="20"/>
                <w:szCs w:val="20"/>
              </w:rPr>
            </w:pPr>
            <w:r>
              <w:rPr>
                <w:rFonts w:ascii="Cambria Math" w:hAnsi="Cambria Math"/>
                <w:i/>
                <w:sz w:val="20"/>
                <w:szCs w:val="20"/>
              </w:rPr>
              <w:t>r</w:t>
            </w:r>
          </w:p>
        </w:tc>
        <w:tc>
          <w:tcPr>
            <w:tcW w:w="4320" w:type="dxa"/>
            <w:gridSpan w:val="3"/>
          </w:tcPr>
          <w:p w:rsidR="009B5E65" w:rsidRPr="00BB45CE" w:rsidRDefault="009B5E65" w:rsidP="00086A1F">
            <w:pPr>
              <w:spacing w:after="0" w:line="240" w:lineRule="auto"/>
              <w:rPr>
                <w:sz w:val="20"/>
                <w:szCs w:val="20"/>
              </w:rPr>
            </w:pPr>
            <w:r>
              <w:rPr>
                <w:sz w:val="20"/>
                <w:szCs w:val="20"/>
              </w:rPr>
              <w:t>Foreign remittances</w:t>
            </w:r>
          </w:p>
        </w:tc>
      </w:tr>
      <w:tr w:rsidR="009B5E65" w:rsidRPr="00BB45CE" w:rsidTr="00086A1F">
        <w:tc>
          <w:tcPr>
            <w:tcW w:w="360" w:type="dxa"/>
          </w:tcPr>
          <w:p w:rsidR="009B5E65" w:rsidRPr="00BB45CE" w:rsidRDefault="009B5E65" w:rsidP="00086A1F">
            <w:pPr>
              <w:spacing w:after="0" w:line="240" w:lineRule="auto"/>
              <w:jc w:val="center"/>
              <w:rPr>
                <w:rFonts w:ascii="Cambria Math" w:hAnsi="Cambria Math"/>
                <w:i/>
                <w:sz w:val="20"/>
                <w:szCs w:val="20"/>
              </w:rPr>
            </w:pPr>
            <w:r>
              <w:rPr>
                <w:rFonts w:ascii="Cambria Math" w:hAnsi="Cambria Math"/>
                <w:i/>
                <w:sz w:val="20"/>
                <w:szCs w:val="20"/>
              </w:rPr>
              <w:t>h</w:t>
            </w:r>
          </w:p>
        </w:tc>
        <w:tc>
          <w:tcPr>
            <w:tcW w:w="4140" w:type="dxa"/>
            <w:gridSpan w:val="4"/>
          </w:tcPr>
          <w:p w:rsidR="009B5E65" w:rsidRPr="00BB45CE" w:rsidRDefault="009B5E65" w:rsidP="00086A1F">
            <w:pPr>
              <w:spacing w:after="0" w:line="240" w:lineRule="auto"/>
              <w:rPr>
                <w:sz w:val="20"/>
                <w:szCs w:val="20"/>
              </w:rPr>
            </w:pPr>
            <w:r>
              <w:rPr>
                <w:sz w:val="20"/>
                <w:szCs w:val="20"/>
              </w:rPr>
              <w:t>Household groups</w:t>
            </w:r>
          </w:p>
        </w:tc>
        <w:tc>
          <w:tcPr>
            <w:tcW w:w="450" w:type="dxa"/>
          </w:tcPr>
          <w:p w:rsidR="009B5E65" w:rsidRPr="00BB45CE" w:rsidRDefault="009B5E65" w:rsidP="00086A1F">
            <w:pPr>
              <w:spacing w:after="0" w:line="240" w:lineRule="auto"/>
              <w:jc w:val="center"/>
              <w:rPr>
                <w:rFonts w:ascii="Cambria Math" w:hAnsi="Cambria Math"/>
                <w:i/>
                <w:sz w:val="20"/>
                <w:szCs w:val="20"/>
              </w:rPr>
            </w:pPr>
            <w:r>
              <w:rPr>
                <w:rFonts w:ascii="Cambria Math" w:hAnsi="Cambria Math"/>
                <w:i/>
                <w:sz w:val="20"/>
                <w:szCs w:val="20"/>
              </w:rPr>
              <w:t>s</w:t>
            </w:r>
          </w:p>
        </w:tc>
        <w:tc>
          <w:tcPr>
            <w:tcW w:w="4320" w:type="dxa"/>
            <w:gridSpan w:val="3"/>
          </w:tcPr>
          <w:p w:rsidR="009B5E65" w:rsidRPr="00BB45CE" w:rsidRDefault="009B5E65" w:rsidP="00086A1F">
            <w:pPr>
              <w:spacing w:after="0" w:line="240" w:lineRule="auto"/>
              <w:rPr>
                <w:sz w:val="20"/>
                <w:szCs w:val="20"/>
              </w:rPr>
            </w:pPr>
            <w:r>
              <w:rPr>
                <w:sz w:val="20"/>
                <w:szCs w:val="20"/>
              </w:rPr>
              <w:t>Total factor supply</w:t>
            </w:r>
          </w:p>
        </w:tc>
      </w:tr>
      <w:tr w:rsidR="009B5E65" w:rsidRPr="00BB45CE" w:rsidTr="00086A1F">
        <w:tc>
          <w:tcPr>
            <w:tcW w:w="360" w:type="dxa"/>
          </w:tcPr>
          <w:p w:rsidR="009B5E65" w:rsidRPr="00BB45CE" w:rsidRDefault="009B5E65" w:rsidP="00086A1F">
            <w:pPr>
              <w:spacing w:after="0" w:line="240" w:lineRule="auto"/>
              <w:jc w:val="center"/>
              <w:rPr>
                <w:rFonts w:ascii="Cambria Math" w:hAnsi="Cambria Math"/>
                <w:i/>
                <w:sz w:val="20"/>
                <w:szCs w:val="20"/>
              </w:rPr>
            </w:pPr>
            <w:r>
              <w:rPr>
                <w:rFonts w:ascii="Cambria Math" w:hAnsi="Cambria Math"/>
                <w:i/>
                <w:sz w:val="20"/>
                <w:szCs w:val="20"/>
              </w:rPr>
              <w:t>t</w:t>
            </w:r>
          </w:p>
        </w:tc>
        <w:tc>
          <w:tcPr>
            <w:tcW w:w="4140" w:type="dxa"/>
            <w:gridSpan w:val="4"/>
          </w:tcPr>
          <w:p w:rsidR="009B5E65" w:rsidRPr="00BB45CE" w:rsidRDefault="009B5E65" w:rsidP="00086A1F">
            <w:pPr>
              <w:spacing w:after="0" w:line="240" w:lineRule="auto"/>
              <w:rPr>
                <w:sz w:val="20"/>
                <w:szCs w:val="20"/>
              </w:rPr>
            </w:pPr>
            <w:r>
              <w:rPr>
                <w:sz w:val="20"/>
                <w:szCs w:val="20"/>
              </w:rPr>
              <w:t>Time periods</w:t>
            </w:r>
          </w:p>
        </w:tc>
        <w:tc>
          <w:tcPr>
            <w:tcW w:w="450" w:type="dxa"/>
          </w:tcPr>
          <w:p w:rsidR="009B5E65" w:rsidRPr="00BB45CE" w:rsidRDefault="009B5E65" w:rsidP="00086A1F">
            <w:pPr>
              <w:spacing w:after="0" w:line="240" w:lineRule="auto"/>
              <w:jc w:val="center"/>
              <w:rPr>
                <w:rFonts w:ascii="Cambria Math" w:hAnsi="Cambria Math"/>
                <w:i/>
                <w:sz w:val="20"/>
                <w:szCs w:val="20"/>
              </w:rPr>
            </w:pPr>
            <w:r w:rsidRPr="00BB45CE">
              <w:rPr>
                <w:rFonts w:ascii="Cambria Math" w:hAnsi="Cambria Math"/>
                <w:i/>
                <w:sz w:val="20"/>
                <w:szCs w:val="20"/>
              </w:rPr>
              <w:t>w</w:t>
            </w:r>
          </w:p>
        </w:tc>
        <w:tc>
          <w:tcPr>
            <w:tcW w:w="4320" w:type="dxa"/>
            <w:gridSpan w:val="3"/>
          </w:tcPr>
          <w:p w:rsidR="009B5E65" w:rsidRPr="00BB45CE" w:rsidRDefault="009B5E65" w:rsidP="00086A1F">
            <w:pPr>
              <w:spacing w:after="0" w:line="240" w:lineRule="auto"/>
              <w:rPr>
                <w:rFonts w:eastAsiaTheme="minorEastAsia"/>
                <w:sz w:val="20"/>
                <w:szCs w:val="20"/>
              </w:rPr>
            </w:pPr>
            <w:r w:rsidRPr="00BB45CE">
              <w:rPr>
                <w:rFonts w:eastAsiaTheme="minorEastAsia"/>
                <w:sz w:val="20"/>
                <w:szCs w:val="20"/>
              </w:rPr>
              <w:t>World import and export prices</w:t>
            </w:r>
          </w:p>
        </w:tc>
      </w:tr>
      <w:tr w:rsidR="009B5E65" w:rsidRPr="00BB45CE" w:rsidTr="00086A1F">
        <w:tc>
          <w:tcPr>
            <w:tcW w:w="2250" w:type="dxa"/>
            <w:gridSpan w:val="3"/>
          </w:tcPr>
          <w:p w:rsidR="009B5E65" w:rsidRPr="00BB45CE" w:rsidRDefault="009B5E65" w:rsidP="00086A1F">
            <w:pPr>
              <w:spacing w:after="0" w:line="240" w:lineRule="auto"/>
              <w:rPr>
                <w:rFonts w:eastAsiaTheme="minorEastAsia"/>
                <w:i/>
                <w:sz w:val="20"/>
                <w:szCs w:val="20"/>
              </w:rPr>
            </w:pPr>
            <w:r w:rsidRPr="00BB45CE">
              <w:rPr>
                <w:sz w:val="20"/>
                <w:szCs w:val="20"/>
                <w:u w:val="single"/>
              </w:rPr>
              <w:t>Endogenous variables</w:t>
            </w:r>
          </w:p>
        </w:tc>
        <w:tc>
          <w:tcPr>
            <w:tcW w:w="2250" w:type="dxa"/>
            <w:gridSpan w:val="2"/>
          </w:tcPr>
          <w:p w:rsidR="009B5E65" w:rsidRPr="00BB45CE" w:rsidRDefault="009B5E65" w:rsidP="00086A1F">
            <w:pPr>
              <w:spacing w:after="0" w:line="240" w:lineRule="auto"/>
              <w:rPr>
                <w:rFonts w:eastAsiaTheme="minorEastAsia"/>
                <w:sz w:val="20"/>
                <w:szCs w:val="20"/>
              </w:rPr>
            </w:pPr>
          </w:p>
        </w:tc>
        <w:tc>
          <w:tcPr>
            <w:tcW w:w="4140" w:type="dxa"/>
            <w:gridSpan w:val="3"/>
          </w:tcPr>
          <w:p w:rsidR="009B5E65" w:rsidRPr="00D0122A" w:rsidRDefault="009B5E65" w:rsidP="00086A1F">
            <w:pPr>
              <w:spacing w:after="0" w:line="240" w:lineRule="auto"/>
              <w:rPr>
                <w:rFonts w:ascii="Cambria Math" w:hAnsi="Cambria Math"/>
                <w:i/>
                <w:sz w:val="20"/>
                <w:szCs w:val="20"/>
              </w:rPr>
            </w:pPr>
            <w:r w:rsidRPr="00BB45CE">
              <w:rPr>
                <w:rFonts w:eastAsiaTheme="minorEastAsia"/>
                <w:sz w:val="20"/>
                <w:szCs w:val="20"/>
                <w:u w:val="single"/>
              </w:rPr>
              <w:t>Exogenous parameters</w:t>
            </w:r>
          </w:p>
        </w:tc>
        <w:tc>
          <w:tcPr>
            <w:tcW w:w="630" w:type="dxa"/>
          </w:tcPr>
          <w:p w:rsidR="009B5E65" w:rsidRPr="00BB45CE" w:rsidRDefault="009B5E65" w:rsidP="00086A1F">
            <w:pPr>
              <w:spacing w:after="0" w:line="240" w:lineRule="auto"/>
              <w:rPr>
                <w:sz w:val="20"/>
                <w:szCs w:val="20"/>
              </w:rPr>
            </w:pPr>
          </w:p>
        </w:tc>
      </w:tr>
      <w:tr w:rsidR="009B5E65" w:rsidRPr="00BB45CE" w:rsidTr="00086A1F">
        <w:tc>
          <w:tcPr>
            <w:tcW w:w="360" w:type="dxa"/>
          </w:tcPr>
          <w:p w:rsidR="009B5E65" w:rsidRPr="00BB45CE" w:rsidRDefault="009B5E65" w:rsidP="00086A1F">
            <w:pPr>
              <w:spacing w:after="0" w:line="240" w:lineRule="auto"/>
              <w:jc w:val="center"/>
              <w:rPr>
                <w:rFonts w:ascii="Cambria Math" w:hAnsi="Cambria Math"/>
                <w:i/>
                <w:sz w:val="20"/>
                <w:szCs w:val="20"/>
              </w:rPr>
            </w:pPr>
            <w:r w:rsidRPr="00BB45CE">
              <w:rPr>
                <w:rFonts w:ascii="Cambria Math" w:eastAsiaTheme="minorEastAsia" w:hAnsi="Cambria Math"/>
                <w:i/>
                <w:sz w:val="20"/>
                <w:szCs w:val="20"/>
              </w:rPr>
              <w:t>D</w:t>
            </w:r>
          </w:p>
        </w:tc>
        <w:tc>
          <w:tcPr>
            <w:tcW w:w="4140" w:type="dxa"/>
            <w:gridSpan w:val="4"/>
          </w:tcPr>
          <w:p w:rsidR="009B5E65" w:rsidRPr="00BB45CE" w:rsidRDefault="009B5E65" w:rsidP="00086A1F">
            <w:pPr>
              <w:spacing w:after="0" w:line="240" w:lineRule="auto"/>
              <w:rPr>
                <w:sz w:val="20"/>
                <w:szCs w:val="20"/>
              </w:rPr>
            </w:pPr>
            <w:r w:rsidRPr="00BB45CE">
              <w:rPr>
                <w:rFonts w:eastAsiaTheme="minorEastAsia"/>
                <w:sz w:val="20"/>
                <w:szCs w:val="20"/>
              </w:rPr>
              <w:t>Household consumption demand quantity</w:t>
            </w:r>
          </w:p>
        </w:tc>
        <w:tc>
          <w:tcPr>
            <w:tcW w:w="450" w:type="dxa"/>
          </w:tcPr>
          <w:p w:rsidR="009B5E65" w:rsidRPr="00D0122A" w:rsidRDefault="009B5E65" w:rsidP="00086A1F">
            <w:pPr>
              <w:spacing w:after="0" w:line="240" w:lineRule="auto"/>
              <w:jc w:val="center"/>
              <w:rPr>
                <w:rFonts w:ascii="Cambria Math" w:hAnsi="Cambria Math"/>
                <w:i/>
                <w:sz w:val="20"/>
                <w:szCs w:val="20"/>
              </w:rPr>
            </w:pPr>
            <w:r w:rsidRPr="00D0122A">
              <w:rPr>
                <w:rFonts w:ascii="Cambria Math" w:eastAsiaTheme="minorEastAsia" w:hAnsi="Cambria Math"/>
                <w:i/>
                <w:sz w:val="20"/>
                <w:szCs w:val="20"/>
              </w:rPr>
              <w:t>α</w:t>
            </w:r>
          </w:p>
        </w:tc>
        <w:tc>
          <w:tcPr>
            <w:tcW w:w="4320" w:type="dxa"/>
            <w:gridSpan w:val="3"/>
          </w:tcPr>
          <w:p w:rsidR="009B5E65" w:rsidRPr="00BB45CE" w:rsidRDefault="009B5E65" w:rsidP="00086A1F">
            <w:pPr>
              <w:spacing w:after="0" w:line="240" w:lineRule="auto"/>
              <w:rPr>
                <w:sz w:val="20"/>
                <w:szCs w:val="20"/>
              </w:rPr>
            </w:pPr>
            <w:r w:rsidRPr="00BB45CE">
              <w:rPr>
                <w:rFonts w:eastAsiaTheme="minorEastAsia"/>
                <w:sz w:val="20"/>
                <w:szCs w:val="20"/>
              </w:rPr>
              <w:t>Production shift parameter (factor productivity)</w:t>
            </w:r>
          </w:p>
        </w:tc>
      </w:tr>
      <w:tr w:rsidR="009B5E65" w:rsidRPr="00BB45CE" w:rsidTr="00086A1F">
        <w:tc>
          <w:tcPr>
            <w:tcW w:w="360" w:type="dxa"/>
          </w:tcPr>
          <w:p w:rsidR="009B5E65" w:rsidRPr="00BB45CE" w:rsidRDefault="009B5E65" w:rsidP="00086A1F">
            <w:pPr>
              <w:spacing w:after="0" w:line="240" w:lineRule="auto"/>
              <w:jc w:val="center"/>
              <w:rPr>
                <w:rFonts w:ascii="Cambria Math" w:hAnsi="Cambria Math"/>
                <w:i/>
                <w:sz w:val="20"/>
                <w:szCs w:val="20"/>
              </w:rPr>
            </w:pPr>
            <w:r>
              <w:rPr>
                <w:rFonts w:ascii="Cambria Math" w:hAnsi="Cambria Math"/>
                <w:i/>
                <w:sz w:val="20"/>
                <w:szCs w:val="20"/>
              </w:rPr>
              <w:t>E</w:t>
            </w:r>
          </w:p>
        </w:tc>
        <w:tc>
          <w:tcPr>
            <w:tcW w:w="4140" w:type="dxa"/>
            <w:gridSpan w:val="4"/>
          </w:tcPr>
          <w:p w:rsidR="009B5E65" w:rsidRPr="00BB45CE" w:rsidRDefault="009B5E65" w:rsidP="00086A1F">
            <w:pPr>
              <w:spacing w:after="0" w:line="240" w:lineRule="auto"/>
              <w:rPr>
                <w:sz w:val="20"/>
                <w:szCs w:val="20"/>
              </w:rPr>
            </w:pPr>
            <w:r w:rsidRPr="00BB45CE">
              <w:rPr>
                <w:sz w:val="20"/>
                <w:szCs w:val="20"/>
              </w:rPr>
              <w:t>Exchange (local/foreign currency units)</w:t>
            </w:r>
          </w:p>
        </w:tc>
        <w:tc>
          <w:tcPr>
            <w:tcW w:w="450" w:type="dxa"/>
          </w:tcPr>
          <w:p w:rsidR="009B5E65" w:rsidRPr="00D0122A" w:rsidRDefault="009B5E65" w:rsidP="00086A1F">
            <w:pPr>
              <w:spacing w:after="0" w:line="240" w:lineRule="auto"/>
              <w:jc w:val="center"/>
              <w:rPr>
                <w:rFonts w:ascii="Cambria Math" w:hAnsi="Cambria Math"/>
                <w:i/>
                <w:sz w:val="20"/>
                <w:szCs w:val="20"/>
              </w:rPr>
            </w:pPr>
            <w:r w:rsidRPr="00D0122A">
              <w:rPr>
                <w:rFonts w:ascii="Cambria Math" w:eastAsiaTheme="minorEastAsia" w:hAnsi="Cambria Math"/>
                <w:i/>
                <w:sz w:val="20"/>
                <w:szCs w:val="20"/>
              </w:rPr>
              <w:t>β</w:t>
            </w:r>
          </w:p>
        </w:tc>
        <w:tc>
          <w:tcPr>
            <w:tcW w:w="4320" w:type="dxa"/>
            <w:gridSpan w:val="3"/>
          </w:tcPr>
          <w:p w:rsidR="009B5E65" w:rsidRPr="00BB45CE" w:rsidRDefault="009B5E65" w:rsidP="00086A1F">
            <w:pPr>
              <w:spacing w:after="0" w:line="240" w:lineRule="auto"/>
              <w:rPr>
                <w:sz w:val="20"/>
                <w:szCs w:val="20"/>
              </w:rPr>
            </w:pPr>
            <w:r w:rsidRPr="00BB45CE">
              <w:rPr>
                <w:rFonts w:eastAsiaTheme="minorEastAsia"/>
                <w:sz w:val="20"/>
                <w:szCs w:val="20"/>
              </w:rPr>
              <w:t>Household average budget share</w:t>
            </w:r>
          </w:p>
        </w:tc>
      </w:tr>
      <w:tr w:rsidR="009B5E65" w:rsidRPr="00BB45CE" w:rsidTr="00086A1F">
        <w:tc>
          <w:tcPr>
            <w:tcW w:w="360" w:type="dxa"/>
          </w:tcPr>
          <w:p w:rsidR="009B5E65" w:rsidRPr="00BB45CE" w:rsidRDefault="009B5E65" w:rsidP="00086A1F">
            <w:pPr>
              <w:spacing w:after="0" w:line="240" w:lineRule="auto"/>
              <w:jc w:val="center"/>
              <w:rPr>
                <w:rFonts w:ascii="Cambria Math" w:hAnsi="Cambria Math"/>
                <w:i/>
                <w:sz w:val="20"/>
                <w:szCs w:val="20"/>
              </w:rPr>
            </w:pPr>
            <w:r w:rsidRPr="00BB45CE">
              <w:rPr>
                <w:rFonts w:ascii="Cambria Math" w:eastAsiaTheme="minorEastAsia" w:hAnsi="Cambria Math"/>
                <w:i/>
                <w:sz w:val="20"/>
                <w:szCs w:val="20"/>
              </w:rPr>
              <w:t>F</w:t>
            </w:r>
          </w:p>
        </w:tc>
        <w:tc>
          <w:tcPr>
            <w:tcW w:w="4140" w:type="dxa"/>
            <w:gridSpan w:val="4"/>
          </w:tcPr>
          <w:p w:rsidR="009B5E65" w:rsidRPr="00BB45CE" w:rsidRDefault="009B5E65" w:rsidP="00086A1F">
            <w:pPr>
              <w:spacing w:after="0" w:line="240" w:lineRule="auto"/>
              <w:rPr>
                <w:sz w:val="20"/>
                <w:szCs w:val="20"/>
              </w:rPr>
            </w:pPr>
            <w:r w:rsidRPr="00BB45CE">
              <w:rPr>
                <w:rFonts w:eastAsiaTheme="minorEastAsia"/>
                <w:sz w:val="20"/>
                <w:szCs w:val="20"/>
              </w:rPr>
              <w:t>Factor demand quantity</w:t>
            </w:r>
          </w:p>
        </w:tc>
        <w:tc>
          <w:tcPr>
            <w:tcW w:w="450" w:type="dxa"/>
          </w:tcPr>
          <w:p w:rsidR="009B5E65" w:rsidRPr="00D0122A" w:rsidRDefault="009B5E65" w:rsidP="00086A1F">
            <w:pPr>
              <w:spacing w:after="0" w:line="240" w:lineRule="auto"/>
              <w:jc w:val="center"/>
              <w:rPr>
                <w:rFonts w:ascii="Cambria Math" w:hAnsi="Cambria Math"/>
                <w:i/>
                <w:sz w:val="20"/>
                <w:szCs w:val="20"/>
              </w:rPr>
            </w:pPr>
            <w:r w:rsidRPr="00D0122A">
              <w:rPr>
                <w:rFonts w:ascii="Times New Roman" w:hAnsi="Times New Roman" w:cs="Times New Roman"/>
                <w:i/>
                <w:sz w:val="20"/>
                <w:szCs w:val="20"/>
              </w:rPr>
              <w:t>γ</w:t>
            </w:r>
          </w:p>
        </w:tc>
        <w:tc>
          <w:tcPr>
            <w:tcW w:w="4320" w:type="dxa"/>
            <w:gridSpan w:val="3"/>
          </w:tcPr>
          <w:p w:rsidR="009B5E65" w:rsidRPr="00BB45CE" w:rsidRDefault="009B5E65" w:rsidP="00086A1F">
            <w:pPr>
              <w:spacing w:after="0" w:line="240" w:lineRule="auto"/>
              <w:rPr>
                <w:sz w:val="20"/>
                <w:szCs w:val="20"/>
              </w:rPr>
            </w:pPr>
            <w:r>
              <w:rPr>
                <w:rFonts w:eastAsiaTheme="minorEastAsia"/>
                <w:sz w:val="20"/>
                <w:szCs w:val="20"/>
              </w:rPr>
              <w:t>Hicks neutral rate of technical change</w:t>
            </w:r>
          </w:p>
        </w:tc>
      </w:tr>
      <w:tr w:rsidR="009B5E65" w:rsidRPr="00BB45CE" w:rsidTr="00086A1F">
        <w:tc>
          <w:tcPr>
            <w:tcW w:w="360" w:type="dxa"/>
          </w:tcPr>
          <w:p w:rsidR="009B5E65" w:rsidRPr="00BB45CE" w:rsidRDefault="009B5E65" w:rsidP="00086A1F">
            <w:pPr>
              <w:spacing w:after="0" w:line="240" w:lineRule="auto"/>
              <w:jc w:val="center"/>
              <w:rPr>
                <w:rFonts w:ascii="Cambria Math" w:eastAsiaTheme="minorEastAsia" w:hAnsi="Cambria Math"/>
                <w:i/>
                <w:sz w:val="20"/>
                <w:szCs w:val="20"/>
              </w:rPr>
            </w:pPr>
            <w:r w:rsidRPr="00BB45CE">
              <w:rPr>
                <w:rFonts w:ascii="Cambria Math" w:eastAsiaTheme="minorEastAsia" w:hAnsi="Cambria Math"/>
                <w:i/>
                <w:sz w:val="20"/>
                <w:szCs w:val="20"/>
              </w:rPr>
              <w:t>I</w:t>
            </w:r>
          </w:p>
        </w:tc>
        <w:tc>
          <w:tcPr>
            <w:tcW w:w="4140" w:type="dxa"/>
            <w:gridSpan w:val="4"/>
          </w:tcPr>
          <w:p w:rsidR="009B5E65" w:rsidRPr="00BB45CE" w:rsidRDefault="009B5E65" w:rsidP="00086A1F">
            <w:pPr>
              <w:spacing w:after="0" w:line="240" w:lineRule="auto"/>
              <w:rPr>
                <w:rFonts w:eastAsiaTheme="minorEastAsia"/>
                <w:sz w:val="20"/>
                <w:szCs w:val="20"/>
              </w:rPr>
            </w:pPr>
            <w:r w:rsidRPr="00BB45CE">
              <w:rPr>
                <w:rFonts w:eastAsiaTheme="minorEastAsia"/>
                <w:sz w:val="20"/>
                <w:szCs w:val="20"/>
              </w:rPr>
              <w:t>Investment demand quantity</w:t>
            </w:r>
          </w:p>
        </w:tc>
        <w:tc>
          <w:tcPr>
            <w:tcW w:w="450" w:type="dxa"/>
          </w:tcPr>
          <w:p w:rsidR="009B5E65" w:rsidRPr="00D0122A" w:rsidRDefault="009B5E65" w:rsidP="00086A1F">
            <w:pPr>
              <w:spacing w:after="0" w:line="240" w:lineRule="auto"/>
              <w:jc w:val="center"/>
              <w:rPr>
                <w:rFonts w:ascii="Cambria Math" w:hAnsi="Cambria Math"/>
                <w:i/>
                <w:sz w:val="20"/>
                <w:szCs w:val="20"/>
              </w:rPr>
            </w:pPr>
            <w:r w:rsidRPr="00D0122A">
              <w:rPr>
                <w:rFonts w:ascii="Cambria Math" w:eastAsiaTheme="minorEastAsia" w:hAnsi="Cambria Math"/>
                <w:i/>
                <w:sz w:val="20"/>
                <w:szCs w:val="20"/>
              </w:rPr>
              <w:t>δ</w:t>
            </w:r>
          </w:p>
        </w:tc>
        <w:tc>
          <w:tcPr>
            <w:tcW w:w="4320" w:type="dxa"/>
            <w:gridSpan w:val="3"/>
          </w:tcPr>
          <w:p w:rsidR="009B5E65" w:rsidRPr="00BB45CE" w:rsidRDefault="009B5E65" w:rsidP="00086A1F">
            <w:pPr>
              <w:spacing w:after="0" w:line="240" w:lineRule="auto"/>
              <w:rPr>
                <w:sz w:val="20"/>
                <w:szCs w:val="20"/>
              </w:rPr>
            </w:pPr>
            <w:r w:rsidRPr="00BB45CE">
              <w:rPr>
                <w:rFonts w:eastAsiaTheme="minorEastAsia"/>
                <w:sz w:val="20"/>
                <w:szCs w:val="20"/>
              </w:rPr>
              <w:t>Factor input share parameter</w:t>
            </w:r>
          </w:p>
        </w:tc>
      </w:tr>
      <w:tr w:rsidR="009B5E65" w:rsidRPr="00BB45CE" w:rsidTr="00086A1F">
        <w:tc>
          <w:tcPr>
            <w:tcW w:w="360" w:type="dxa"/>
          </w:tcPr>
          <w:p w:rsidR="009B5E65" w:rsidRPr="00BB45CE" w:rsidRDefault="009B5E65" w:rsidP="00086A1F">
            <w:pPr>
              <w:spacing w:after="0" w:line="240" w:lineRule="auto"/>
              <w:jc w:val="center"/>
              <w:rPr>
                <w:rFonts w:ascii="Cambria Math" w:eastAsiaTheme="minorEastAsia" w:hAnsi="Cambria Math"/>
                <w:i/>
                <w:sz w:val="20"/>
                <w:szCs w:val="20"/>
              </w:rPr>
            </w:pPr>
            <w:r w:rsidRPr="00BB45CE">
              <w:rPr>
                <w:rFonts w:ascii="Cambria Math" w:eastAsiaTheme="minorEastAsia" w:hAnsi="Cambria Math"/>
                <w:i/>
                <w:sz w:val="20"/>
                <w:szCs w:val="20"/>
              </w:rPr>
              <w:t>M</w:t>
            </w:r>
          </w:p>
        </w:tc>
        <w:tc>
          <w:tcPr>
            <w:tcW w:w="4140" w:type="dxa"/>
            <w:gridSpan w:val="4"/>
          </w:tcPr>
          <w:p w:rsidR="009B5E65" w:rsidRPr="00BB45CE" w:rsidRDefault="009B5E65" w:rsidP="00086A1F">
            <w:pPr>
              <w:spacing w:after="0" w:line="240" w:lineRule="auto"/>
              <w:rPr>
                <w:rFonts w:eastAsiaTheme="minorEastAsia"/>
                <w:sz w:val="20"/>
                <w:szCs w:val="20"/>
              </w:rPr>
            </w:pPr>
            <w:r w:rsidRPr="00BB45CE">
              <w:rPr>
                <w:rFonts w:eastAsiaTheme="minorEastAsia"/>
                <w:sz w:val="20"/>
                <w:szCs w:val="20"/>
              </w:rPr>
              <w:t>Import supply quantity</w:t>
            </w:r>
          </w:p>
        </w:tc>
        <w:tc>
          <w:tcPr>
            <w:tcW w:w="450" w:type="dxa"/>
          </w:tcPr>
          <w:p w:rsidR="009B5E65" w:rsidRPr="00D0122A" w:rsidRDefault="009B5E65" w:rsidP="00086A1F">
            <w:pPr>
              <w:spacing w:after="0" w:line="240" w:lineRule="auto"/>
              <w:jc w:val="center"/>
              <w:rPr>
                <w:rFonts w:ascii="Cambria Math" w:hAnsi="Cambria Math"/>
                <w:i/>
                <w:sz w:val="20"/>
                <w:szCs w:val="20"/>
              </w:rPr>
            </w:pPr>
            <w:r w:rsidRPr="00D0122A">
              <w:rPr>
                <w:rFonts w:ascii="Times New Roman" w:hAnsi="Times New Roman" w:cs="Times New Roman"/>
                <w:i/>
                <w:sz w:val="20"/>
                <w:szCs w:val="20"/>
              </w:rPr>
              <w:t>η</w:t>
            </w:r>
          </w:p>
        </w:tc>
        <w:tc>
          <w:tcPr>
            <w:tcW w:w="4320" w:type="dxa"/>
            <w:gridSpan w:val="3"/>
          </w:tcPr>
          <w:p w:rsidR="009B5E65" w:rsidRPr="00BB45CE" w:rsidRDefault="009B5E65" w:rsidP="00086A1F">
            <w:pPr>
              <w:spacing w:after="0" w:line="240" w:lineRule="auto"/>
              <w:rPr>
                <w:sz w:val="20"/>
                <w:szCs w:val="20"/>
              </w:rPr>
            </w:pPr>
            <w:r>
              <w:rPr>
                <w:rFonts w:eastAsiaTheme="minorEastAsia"/>
                <w:sz w:val="20"/>
                <w:szCs w:val="20"/>
              </w:rPr>
              <w:t>C</w:t>
            </w:r>
            <w:r w:rsidRPr="00C126BD">
              <w:rPr>
                <w:rFonts w:eastAsiaTheme="minorEastAsia"/>
                <w:sz w:val="20"/>
                <w:szCs w:val="20"/>
              </w:rPr>
              <w:t>apital depreciation rate</w:t>
            </w:r>
          </w:p>
        </w:tc>
      </w:tr>
      <w:tr w:rsidR="009B5E65" w:rsidRPr="00BB45CE" w:rsidTr="00086A1F">
        <w:tc>
          <w:tcPr>
            <w:tcW w:w="360" w:type="dxa"/>
          </w:tcPr>
          <w:p w:rsidR="009B5E65" w:rsidRPr="00BB45CE" w:rsidRDefault="009B5E65" w:rsidP="00086A1F">
            <w:pPr>
              <w:spacing w:after="0" w:line="240" w:lineRule="auto"/>
              <w:jc w:val="center"/>
              <w:rPr>
                <w:rFonts w:ascii="Cambria Math" w:hAnsi="Cambria Math"/>
                <w:i/>
                <w:sz w:val="20"/>
                <w:szCs w:val="20"/>
              </w:rPr>
            </w:pPr>
            <w:r w:rsidRPr="00BB45CE">
              <w:rPr>
                <w:rFonts w:ascii="Cambria Math" w:eastAsiaTheme="minorEastAsia" w:hAnsi="Cambria Math"/>
                <w:i/>
                <w:sz w:val="20"/>
                <w:szCs w:val="20"/>
              </w:rPr>
              <w:t>P</w:t>
            </w:r>
          </w:p>
        </w:tc>
        <w:tc>
          <w:tcPr>
            <w:tcW w:w="4140" w:type="dxa"/>
            <w:gridSpan w:val="4"/>
          </w:tcPr>
          <w:p w:rsidR="009B5E65" w:rsidRPr="00BB45CE" w:rsidRDefault="009B5E65" w:rsidP="00086A1F">
            <w:pPr>
              <w:spacing w:after="0" w:line="240" w:lineRule="auto"/>
              <w:rPr>
                <w:sz w:val="20"/>
                <w:szCs w:val="20"/>
              </w:rPr>
            </w:pPr>
            <w:r w:rsidRPr="00BB45CE">
              <w:rPr>
                <w:rFonts w:eastAsiaTheme="minorEastAsia"/>
                <w:sz w:val="20"/>
                <w:szCs w:val="20"/>
              </w:rPr>
              <w:t>Commodity price</w:t>
            </w:r>
          </w:p>
        </w:tc>
        <w:tc>
          <w:tcPr>
            <w:tcW w:w="450" w:type="dxa"/>
          </w:tcPr>
          <w:p w:rsidR="009B5E65" w:rsidRPr="00D0122A" w:rsidRDefault="009B5E65" w:rsidP="00086A1F">
            <w:pPr>
              <w:spacing w:after="0" w:line="240" w:lineRule="auto"/>
              <w:jc w:val="center"/>
              <w:rPr>
                <w:rFonts w:ascii="Cambria Math" w:hAnsi="Cambria Math"/>
                <w:i/>
                <w:sz w:val="20"/>
                <w:szCs w:val="20"/>
              </w:rPr>
            </w:pPr>
            <w:r w:rsidRPr="00D0122A">
              <w:rPr>
                <w:rFonts w:ascii="Cambria Math" w:eastAsiaTheme="minorEastAsia" w:hAnsi="Cambria Math"/>
                <w:i/>
                <w:sz w:val="20"/>
                <w:szCs w:val="20"/>
              </w:rPr>
              <w:t>θ</w:t>
            </w:r>
          </w:p>
        </w:tc>
        <w:tc>
          <w:tcPr>
            <w:tcW w:w="4320" w:type="dxa"/>
            <w:gridSpan w:val="3"/>
          </w:tcPr>
          <w:p w:rsidR="009B5E65" w:rsidRPr="00BB45CE" w:rsidRDefault="009B5E65" w:rsidP="00086A1F">
            <w:pPr>
              <w:spacing w:after="0" w:line="240" w:lineRule="auto"/>
              <w:rPr>
                <w:sz w:val="20"/>
                <w:szCs w:val="20"/>
              </w:rPr>
            </w:pPr>
            <w:r w:rsidRPr="00BB45CE">
              <w:rPr>
                <w:rFonts w:eastAsiaTheme="minorEastAsia"/>
                <w:sz w:val="20"/>
                <w:szCs w:val="20"/>
              </w:rPr>
              <w:t>Household share of factor income</w:t>
            </w:r>
          </w:p>
        </w:tc>
      </w:tr>
      <w:tr w:rsidR="009B5E65" w:rsidRPr="00BB45CE" w:rsidTr="00086A1F">
        <w:tc>
          <w:tcPr>
            <w:tcW w:w="360" w:type="dxa"/>
          </w:tcPr>
          <w:p w:rsidR="009B5E65" w:rsidRPr="00BB45CE" w:rsidRDefault="009B5E65" w:rsidP="00086A1F">
            <w:pPr>
              <w:spacing w:after="0" w:line="240" w:lineRule="auto"/>
              <w:jc w:val="center"/>
              <w:rPr>
                <w:rFonts w:ascii="Cambria Math" w:hAnsi="Cambria Math"/>
                <w:i/>
                <w:sz w:val="20"/>
                <w:szCs w:val="20"/>
              </w:rPr>
            </w:pPr>
            <w:r w:rsidRPr="00BB45CE">
              <w:rPr>
                <w:rFonts w:ascii="Cambria Math" w:eastAsiaTheme="minorEastAsia" w:hAnsi="Cambria Math"/>
                <w:i/>
                <w:sz w:val="20"/>
                <w:szCs w:val="20"/>
              </w:rPr>
              <w:t>Q</w:t>
            </w:r>
          </w:p>
        </w:tc>
        <w:tc>
          <w:tcPr>
            <w:tcW w:w="4140" w:type="dxa"/>
            <w:gridSpan w:val="4"/>
          </w:tcPr>
          <w:p w:rsidR="009B5E65" w:rsidRPr="00BB45CE" w:rsidRDefault="009B5E65" w:rsidP="00086A1F">
            <w:pPr>
              <w:spacing w:after="0" w:line="240" w:lineRule="auto"/>
              <w:rPr>
                <w:sz w:val="20"/>
                <w:szCs w:val="20"/>
              </w:rPr>
            </w:pPr>
            <w:r w:rsidRPr="00BB45CE">
              <w:rPr>
                <w:rFonts w:eastAsiaTheme="minorEastAsia"/>
                <w:sz w:val="20"/>
                <w:szCs w:val="20"/>
              </w:rPr>
              <w:t>Output quantity</w:t>
            </w:r>
          </w:p>
        </w:tc>
        <w:tc>
          <w:tcPr>
            <w:tcW w:w="450" w:type="dxa"/>
          </w:tcPr>
          <w:p w:rsidR="009B5E65" w:rsidRPr="00D0122A" w:rsidRDefault="009B5E65" w:rsidP="00086A1F">
            <w:pPr>
              <w:spacing w:after="0" w:line="240" w:lineRule="auto"/>
              <w:jc w:val="center"/>
              <w:rPr>
                <w:rFonts w:ascii="Cambria Math" w:hAnsi="Cambria Math"/>
                <w:i/>
                <w:sz w:val="20"/>
                <w:szCs w:val="20"/>
              </w:rPr>
            </w:pPr>
            <w:r w:rsidRPr="00D0122A">
              <w:rPr>
                <w:rFonts w:ascii="Times New Roman" w:hAnsi="Times New Roman" w:cs="Times New Roman"/>
                <w:i/>
                <w:sz w:val="20"/>
                <w:szCs w:val="20"/>
              </w:rPr>
              <w:t>κ</w:t>
            </w:r>
          </w:p>
        </w:tc>
        <w:tc>
          <w:tcPr>
            <w:tcW w:w="4320" w:type="dxa"/>
            <w:gridSpan w:val="3"/>
          </w:tcPr>
          <w:p w:rsidR="009B5E65" w:rsidRPr="00BB45CE" w:rsidRDefault="009B5E65" w:rsidP="00086A1F">
            <w:pPr>
              <w:spacing w:after="0" w:line="240" w:lineRule="auto"/>
              <w:rPr>
                <w:sz w:val="20"/>
                <w:szCs w:val="20"/>
              </w:rPr>
            </w:pPr>
            <w:r w:rsidRPr="00C126BD">
              <w:rPr>
                <w:rFonts w:eastAsiaTheme="minorEastAsia"/>
                <w:sz w:val="20"/>
                <w:szCs w:val="20"/>
              </w:rPr>
              <w:t>Base price per unit of capital stock</w:t>
            </w:r>
          </w:p>
        </w:tc>
      </w:tr>
      <w:tr w:rsidR="009B5E65" w:rsidRPr="00BB45CE" w:rsidTr="00086A1F">
        <w:tc>
          <w:tcPr>
            <w:tcW w:w="360" w:type="dxa"/>
          </w:tcPr>
          <w:p w:rsidR="009B5E65" w:rsidRPr="00BB45CE" w:rsidRDefault="009B5E65" w:rsidP="00086A1F">
            <w:pPr>
              <w:spacing w:after="0" w:line="240" w:lineRule="auto"/>
              <w:jc w:val="center"/>
              <w:rPr>
                <w:rFonts w:ascii="Cambria Math" w:hAnsi="Cambria Math"/>
                <w:i/>
                <w:sz w:val="20"/>
                <w:szCs w:val="20"/>
              </w:rPr>
            </w:pPr>
            <w:r w:rsidRPr="00BB45CE">
              <w:rPr>
                <w:rFonts w:ascii="Cambria Math" w:eastAsiaTheme="minorEastAsia" w:hAnsi="Cambria Math"/>
                <w:i/>
                <w:sz w:val="20"/>
                <w:szCs w:val="20"/>
              </w:rPr>
              <w:t>W</w:t>
            </w:r>
          </w:p>
        </w:tc>
        <w:tc>
          <w:tcPr>
            <w:tcW w:w="4140" w:type="dxa"/>
            <w:gridSpan w:val="4"/>
          </w:tcPr>
          <w:p w:rsidR="009B5E65" w:rsidRPr="00BB45CE" w:rsidRDefault="009B5E65" w:rsidP="00086A1F">
            <w:pPr>
              <w:spacing w:after="0" w:line="240" w:lineRule="auto"/>
              <w:rPr>
                <w:sz w:val="20"/>
                <w:szCs w:val="20"/>
              </w:rPr>
            </w:pPr>
            <w:r w:rsidRPr="00BB45CE">
              <w:rPr>
                <w:rFonts w:eastAsiaTheme="minorEastAsia"/>
                <w:sz w:val="20"/>
                <w:szCs w:val="20"/>
              </w:rPr>
              <w:t>Average factor return</w:t>
            </w:r>
          </w:p>
        </w:tc>
        <w:tc>
          <w:tcPr>
            <w:tcW w:w="450" w:type="dxa"/>
          </w:tcPr>
          <w:p w:rsidR="009B5E65" w:rsidRPr="00D0122A" w:rsidRDefault="009B5E65" w:rsidP="00086A1F">
            <w:pPr>
              <w:spacing w:after="0" w:line="240" w:lineRule="auto"/>
              <w:jc w:val="center"/>
              <w:rPr>
                <w:rFonts w:ascii="Cambria Math" w:hAnsi="Cambria Math"/>
                <w:i/>
                <w:sz w:val="20"/>
                <w:szCs w:val="20"/>
              </w:rPr>
            </w:pPr>
            <w:r w:rsidRPr="00D0122A">
              <w:rPr>
                <w:rFonts w:ascii="Cambria Math" w:hAnsi="Cambria Math"/>
                <w:i/>
                <w:sz w:val="20"/>
                <w:szCs w:val="20"/>
              </w:rPr>
              <w:t>ρ</w:t>
            </w:r>
          </w:p>
        </w:tc>
        <w:tc>
          <w:tcPr>
            <w:tcW w:w="4320" w:type="dxa"/>
            <w:gridSpan w:val="3"/>
          </w:tcPr>
          <w:p w:rsidR="009B5E65" w:rsidRPr="00BB45CE" w:rsidRDefault="009B5E65" w:rsidP="00086A1F">
            <w:pPr>
              <w:spacing w:after="0" w:line="240" w:lineRule="auto"/>
              <w:rPr>
                <w:sz w:val="20"/>
                <w:szCs w:val="20"/>
              </w:rPr>
            </w:pPr>
            <w:r w:rsidRPr="00BB45CE">
              <w:rPr>
                <w:sz w:val="20"/>
                <w:szCs w:val="20"/>
              </w:rPr>
              <w:t>Investment commodity expenditure share</w:t>
            </w:r>
          </w:p>
        </w:tc>
      </w:tr>
      <w:tr w:rsidR="009B5E65" w:rsidRPr="00BB45CE" w:rsidTr="00086A1F">
        <w:tc>
          <w:tcPr>
            <w:tcW w:w="360" w:type="dxa"/>
          </w:tcPr>
          <w:p w:rsidR="009B5E65" w:rsidRPr="00BB45CE" w:rsidRDefault="009B5E65" w:rsidP="00086A1F">
            <w:pPr>
              <w:spacing w:after="0" w:line="240" w:lineRule="auto"/>
              <w:jc w:val="center"/>
              <w:rPr>
                <w:rFonts w:ascii="Cambria Math" w:eastAsiaTheme="minorEastAsia" w:hAnsi="Cambria Math"/>
                <w:i/>
                <w:sz w:val="20"/>
                <w:szCs w:val="20"/>
              </w:rPr>
            </w:pPr>
            <w:r w:rsidRPr="00BB45CE">
              <w:rPr>
                <w:rFonts w:ascii="Cambria Math" w:eastAsiaTheme="minorEastAsia" w:hAnsi="Cambria Math"/>
                <w:i/>
                <w:sz w:val="20"/>
                <w:szCs w:val="20"/>
              </w:rPr>
              <w:t>X</w:t>
            </w:r>
          </w:p>
        </w:tc>
        <w:tc>
          <w:tcPr>
            <w:tcW w:w="4140" w:type="dxa"/>
            <w:gridSpan w:val="4"/>
          </w:tcPr>
          <w:p w:rsidR="009B5E65" w:rsidRPr="00BB45CE" w:rsidRDefault="009B5E65" w:rsidP="00086A1F">
            <w:pPr>
              <w:spacing w:after="0" w:line="240" w:lineRule="auto"/>
              <w:rPr>
                <w:rFonts w:eastAsiaTheme="minorEastAsia"/>
                <w:sz w:val="20"/>
                <w:szCs w:val="20"/>
              </w:rPr>
            </w:pPr>
            <w:r w:rsidRPr="00BB45CE">
              <w:rPr>
                <w:rFonts w:eastAsiaTheme="minorEastAsia"/>
                <w:sz w:val="20"/>
                <w:szCs w:val="20"/>
              </w:rPr>
              <w:t>Export demand quantity</w:t>
            </w:r>
          </w:p>
        </w:tc>
        <w:tc>
          <w:tcPr>
            <w:tcW w:w="450" w:type="dxa"/>
          </w:tcPr>
          <w:p w:rsidR="009B5E65" w:rsidRPr="00D0122A" w:rsidRDefault="009B5E65" w:rsidP="00086A1F">
            <w:pPr>
              <w:spacing w:after="0" w:line="240" w:lineRule="auto"/>
              <w:jc w:val="center"/>
              <w:rPr>
                <w:rFonts w:ascii="Cambria Math" w:hAnsi="Cambria Math"/>
                <w:i/>
                <w:sz w:val="20"/>
                <w:szCs w:val="20"/>
              </w:rPr>
            </w:pPr>
            <w:r w:rsidRPr="00D0122A">
              <w:rPr>
                <w:rFonts w:ascii="Cambria Math" w:hAnsi="Cambria Math"/>
                <w:i/>
                <w:sz w:val="20"/>
                <w:szCs w:val="20"/>
              </w:rPr>
              <w:t>υ</w:t>
            </w:r>
          </w:p>
        </w:tc>
        <w:tc>
          <w:tcPr>
            <w:tcW w:w="4320" w:type="dxa"/>
            <w:gridSpan w:val="3"/>
          </w:tcPr>
          <w:p w:rsidR="009B5E65" w:rsidRPr="00BB45CE" w:rsidRDefault="009B5E65" w:rsidP="00086A1F">
            <w:pPr>
              <w:spacing w:after="0" w:line="240" w:lineRule="auto"/>
              <w:rPr>
                <w:sz w:val="20"/>
                <w:szCs w:val="20"/>
              </w:rPr>
            </w:pPr>
            <w:r w:rsidRPr="00BB45CE">
              <w:rPr>
                <w:sz w:val="20"/>
                <w:szCs w:val="20"/>
              </w:rPr>
              <w:t>Household marginal propensity to save</w:t>
            </w:r>
          </w:p>
        </w:tc>
      </w:tr>
      <w:tr w:rsidR="009B5E65" w:rsidRPr="00BB45CE" w:rsidTr="00086A1F">
        <w:tc>
          <w:tcPr>
            <w:tcW w:w="360" w:type="dxa"/>
          </w:tcPr>
          <w:p w:rsidR="009B5E65" w:rsidRPr="00BB45CE" w:rsidRDefault="009B5E65" w:rsidP="00086A1F">
            <w:pPr>
              <w:spacing w:after="0" w:line="240" w:lineRule="auto"/>
              <w:jc w:val="center"/>
              <w:rPr>
                <w:rFonts w:ascii="Cambria Math" w:hAnsi="Cambria Math"/>
                <w:i/>
                <w:sz w:val="20"/>
                <w:szCs w:val="20"/>
              </w:rPr>
            </w:pPr>
            <w:r w:rsidRPr="00BB45CE">
              <w:rPr>
                <w:rFonts w:ascii="Cambria Math" w:eastAsiaTheme="minorEastAsia" w:hAnsi="Cambria Math"/>
                <w:i/>
                <w:sz w:val="20"/>
                <w:szCs w:val="20"/>
              </w:rPr>
              <w:t>Y</w:t>
            </w:r>
          </w:p>
        </w:tc>
        <w:tc>
          <w:tcPr>
            <w:tcW w:w="4140" w:type="dxa"/>
            <w:gridSpan w:val="4"/>
          </w:tcPr>
          <w:p w:rsidR="009B5E65" w:rsidRPr="00BB45CE" w:rsidRDefault="009B5E65" w:rsidP="00086A1F">
            <w:pPr>
              <w:spacing w:after="0" w:line="240" w:lineRule="auto"/>
              <w:rPr>
                <w:sz w:val="20"/>
                <w:szCs w:val="20"/>
              </w:rPr>
            </w:pPr>
            <w:r w:rsidRPr="00BB45CE">
              <w:rPr>
                <w:rFonts w:eastAsiaTheme="minorEastAsia"/>
                <w:sz w:val="20"/>
                <w:szCs w:val="20"/>
              </w:rPr>
              <w:t>Total household income</w:t>
            </w:r>
          </w:p>
        </w:tc>
        <w:tc>
          <w:tcPr>
            <w:tcW w:w="450" w:type="dxa"/>
          </w:tcPr>
          <w:p w:rsidR="009B5E65" w:rsidRPr="00D0122A" w:rsidRDefault="009B5E65" w:rsidP="00086A1F">
            <w:pPr>
              <w:spacing w:after="0" w:line="240" w:lineRule="auto"/>
              <w:jc w:val="center"/>
              <w:rPr>
                <w:rFonts w:ascii="Cambria Math" w:hAnsi="Cambria Math"/>
                <w:i/>
                <w:sz w:val="20"/>
                <w:szCs w:val="20"/>
              </w:rPr>
            </w:pPr>
            <w:r w:rsidRPr="00D0122A">
              <w:rPr>
                <w:rFonts w:ascii="Times New Roman" w:hAnsi="Times New Roman" w:cs="Times New Roman"/>
                <w:i/>
                <w:sz w:val="20"/>
                <w:szCs w:val="20"/>
              </w:rPr>
              <w:t>φ</w:t>
            </w:r>
          </w:p>
        </w:tc>
        <w:tc>
          <w:tcPr>
            <w:tcW w:w="4320" w:type="dxa"/>
            <w:gridSpan w:val="3"/>
          </w:tcPr>
          <w:p w:rsidR="009B5E65" w:rsidRPr="00BB45CE" w:rsidRDefault="009B5E65" w:rsidP="00086A1F">
            <w:pPr>
              <w:spacing w:after="0" w:line="240" w:lineRule="auto"/>
              <w:rPr>
                <w:sz w:val="20"/>
                <w:szCs w:val="20"/>
              </w:rPr>
            </w:pPr>
            <w:r>
              <w:rPr>
                <w:rFonts w:eastAsiaTheme="minorEastAsia"/>
                <w:sz w:val="20"/>
                <w:szCs w:val="20"/>
              </w:rPr>
              <w:t>Land and l</w:t>
            </w:r>
            <w:r w:rsidRPr="00C126BD">
              <w:rPr>
                <w:rFonts w:eastAsiaTheme="minorEastAsia"/>
                <w:sz w:val="20"/>
                <w:szCs w:val="20"/>
              </w:rPr>
              <w:t>abor supply growth rate</w:t>
            </w:r>
          </w:p>
        </w:tc>
      </w:tr>
      <w:tr w:rsidR="009B5E65" w:rsidRPr="00BB45CE" w:rsidTr="00086A1F">
        <w:trPr>
          <w:trHeight w:hRule="exact" w:val="115"/>
        </w:trPr>
        <w:tc>
          <w:tcPr>
            <w:tcW w:w="360" w:type="dxa"/>
          </w:tcPr>
          <w:p w:rsidR="009B5E65" w:rsidRPr="00BB45CE" w:rsidRDefault="009B5E65" w:rsidP="00086A1F">
            <w:pPr>
              <w:spacing w:after="0" w:line="240" w:lineRule="auto"/>
              <w:jc w:val="center"/>
              <w:rPr>
                <w:rFonts w:eastAsiaTheme="minorEastAsia"/>
                <w:i/>
                <w:sz w:val="20"/>
                <w:szCs w:val="20"/>
              </w:rPr>
            </w:pPr>
          </w:p>
        </w:tc>
        <w:tc>
          <w:tcPr>
            <w:tcW w:w="4140" w:type="dxa"/>
            <w:gridSpan w:val="4"/>
          </w:tcPr>
          <w:p w:rsidR="009B5E65" w:rsidRPr="00BB45CE" w:rsidRDefault="009B5E65" w:rsidP="00086A1F">
            <w:pPr>
              <w:spacing w:after="0" w:line="240" w:lineRule="auto"/>
              <w:rPr>
                <w:rFonts w:eastAsiaTheme="minorEastAsia"/>
                <w:sz w:val="20"/>
                <w:szCs w:val="20"/>
              </w:rPr>
            </w:pPr>
          </w:p>
        </w:tc>
        <w:tc>
          <w:tcPr>
            <w:tcW w:w="450" w:type="dxa"/>
          </w:tcPr>
          <w:p w:rsidR="009B5E65" w:rsidRPr="00BB45CE" w:rsidRDefault="009B5E65" w:rsidP="00086A1F">
            <w:pPr>
              <w:spacing w:after="0" w:line="240" w:lineRule="auto"/>
              <w:jc w:val="center"/>
              <w:rPr>
                <w:i/>
                <w:sz w:val="20"/>
                <w:szCs w:val="20"/>
              </w:rPr>
            </w:pPr>
          </w:p>
        </w:tc>
        <w:tc>
          <w:tcPr>
            <w:tcW w:w="4320" w:type="dxa"/>
            <w:gridSpan w:val="3"/>
          </w:tcPr>
          <w:p w:rsidR="009B5E65" w:rsidRPr="00BB45CE" w:rsidRDefault="009B5E65" w:rsidP="00086A1F">
            <w:pPr>
              <w:spacing w:after="0" w:line="240" w:lineRule="auto"/>
              <w:rPr>
                <w:sz w:val="20"/>
                <w:szCs w:val="20"/>
              </w:rPr>
            </w:pPr>
          </w:p>
        </w:tc>
      </w:tr>
    </w:tbl>
    <w:p w:rsidR="009B5E65" w:rsidRDefault="009B5E65" w:rsidP="009B5E65">
      <w:pPr>
        <w:spacing w:after="0" w:line="240" w:lineRule="auto"/>
      </w:pPr>
    </w:p>
    <w:p w:rsidR="009B5E65" w:rsidRDefault="009B5E65" w:rsidP="009B5E65">
      <w:pPr>
        <w:spacing w:after="0" w:line="240" w:lineRule="auto"/>
      </w:pPr>
      <w:r>
        <w:br w:type="page"/>
      </w:r>
    </w:p>
    <w:p w:rsidR="009B5E65" w:rsidRDefault="009B5E65" w:rsidP="009B5E65">
      <w:pPr>
        <w:spacing w:after="0" w:line="240" w:lineRule="auto"/>
      </w:pPr>
      <w:r>
        <w:lastRenderedPageBreak/>
        <w:t xml:space="preserve">Table 5: Shocks to the model </w:t>
      </w:r>
    </w:p>
    <w:tbl>
      <w:tblPr>
        <w:tblStyle w:val="TableGrid"/>
        <w:tblW w:w="0" w:type="auto"/>
        <w:tblBorders>
          <w:left w:val="none" w:sz="0" w:space="0" w:color="auto"/>
          <w:right w:val="none" w:sz="0" w:space="0" w:color="auto"/>
          <w:insideH w:val="none" w:sz="0" w:space="0" w:color="auto"/>
          <w:insideV w:val="none" w:sz="0" w:space="0" w:color="auto"/>
        </w:tblBorders>
        <w:tblLook w:val="04A0"/>
      </w:tblPr>
      <w:tblGrid>
        <w:gridCol w:w="1638"/>
        <w:gridCol w:w="1890"/>
        <w:gridCol w:w="1147"/>
        <w:gridCol w:w="1148"/>
        <w:gridCol w:w="1147"/>
        <w:gridCol w:w="1148"/>
      </w:tblGrid>
      <w:tr w:rsidR="009B5E65" w:rsidRPr="00FA5745" w:rsidTr="00086A1F">
        <w:tc>
          <w:tcPr>
            <w:tcW w:w="1638" w:type="dxa"/>
            <w:tcBorders>
              <w:top w:val="single" w:sz="4" w:space="0" w:color="000000" w:themeColor="text1"/>
              <w:bottom w:val="nil"/>
            </w:tcBorders>
            <w:vAlign w:val="bottom"/>
          </w:tcPr>
          <w:p w:rsidR="009B5E65" w:rsidRPr="00FA5745" w:rsidRDefault="009B5E65" w:rsidP="00086A1F">
            <w:pPr>
              <w:rPr>
                <w:color w:val="000000"/>
                <w:sz w:val="20"/>
                <w:szCs w:val="20"/>
              </w:rPr>
            </w:pPr>
          </w:p>
        </w:tc>
        <w:tc>
          <w:tcPr>
            <w:tcW w:w="1890" w:type="dxa"/>
            <w:tcBorders>
              <w:top w:val="single" w:sz="4" w:space="0" w:color="000000" w:themeColor="text1"/>
              <w:bottom w:val="nil"/>
            </w:tcBorders>
            <w:vAlign w:val="bottom"/>
          </w:tcPr>
          <w:p w:rsidR="009B5E65" w:rsidRPr="00FA5745" w:rsidRDefault="009B5E65" w:rsidP="00086A1F">
            <w:pPr>
              <w:rPr>
                <w:color w:val="000000"/>
                <w:sz w:val="20"/>
                <w:szCs w:val="20"/>
              </w:rPr>
            </w:pPr>
          </w:p>
        </w:tc>
        <w:tc>
          <w:tcPr>
            <w:tcW w:w="4590" w:type="dxa"/>
            <w:gridSpan w:val="4"/>
            <w:tcBorders>
              <w:top w:val="single" w:sz="4" w:space="0" w:color="000000" w:themeColor="text1"/>
              <w:bottom w:val="single" w:sz="4" w:space="0" w:color="000000" w:themeColor="text1"/>
            </w:tcBorders>
            <w:vAlign w:val="bottom"/>
          </w:tcPr>
          <w:p w:rsidR="009B5E65" w:rsidRPr="00FA5745" w:rsidRDefault="009B5E65" w:rsidP="00086A1F">
            <w:pPr>
              <w:jc w:val="center"/>
              <w:rPr>
                <w:color w:val="000000"/>
                <w:sz w:val="20"/>
                <w:szCs w:val="20"/>
              </w:rPr>
            </w:pPr>
            <w:r>
              <w:rPr>
                <w:color w:val="000000"/>
                <w:sz w:val="20"/>
                <w:szCs w:val="20"/>
              </w:rPr>
              <w:t>Change from baseline during half-year period (%)</w:t>
            </w:r>
          </w:p>
        </w:tc>
      </w:tr>
      <w:tr w:rsidR="009B5E65" w:rsidRPr="00FA5745" w:rsidTr="00086A1F">
        <w:tc>
          <w:tcPr>
            <w:tcW w:w="1638" w:type="dxa"/>
            <w:tcBorders>
              <w:top w:val="nil"/>
              <w:bottom w:val="single" w:sz="4" w:space="0" w:color="000000" w:themeColor="text1"/>
            </w:tcBorders>
            <w:vAlign w:val="bottom"/>
          </w:tcPr>
          <w:p w:rsidR="009B5E65" w:rsidRPr="00FA5745" w:rsidRDefault="009B5E65" w:rsidP="00086A1F">
            <w:pPr>
              <w:rPr>
                <w:color w:val="000000"/>
                <w:sz w:val="20"/>
                <w:szCs w:val="20"/>
              </w:rPr>
            </w:pPr>
          </w:p>
        </w:tc>
        <w:tc>
          <w:tcPr>
            <w:tcW w:w="1890" w:type="dxa"/>
            <w:tcBorders>
              <w:top w:val="nil"/>
              <w:bottom w:val="single" w:sz="4" w:space="0" w:color="000000" w:themeColor="text1"/>
            </w:tcBorders>
            <w:vAlign w:val="bottom"/>
          </w:tcPr>
          <w:p w:rsidR="009B5E65" w:rsidRPr="00FA5745" w:rsidRDefault="009B5E65" w:rsidP="00086A1F">
            <w:pPr>
              <w:rPr>
                <w:color w:val="000000"/>
                <w:sz w:val="20"/>
                <w:szCs w:val="20"/>
              </w:rPr>
            </w:pPr>
          </w:p>
        </w:tc>
        <w:tc>
          <w:tcPr>
            <w:tcW w:w="1147" w:type="dxa"/>
            <w:tcBorders>
              <w:top w:val="single" w:sz="4" w:space="0" w:color="000000" w:themeColor="text1"/>
              <w:bottom w:val="single" w:sz="4" w:space="0" w:color="000000" w:themeColor="text1"/>
            </w:tcBorders>
            <w:vAlign w:val="bottom"/>
          </w:tcPr>
          <w:p w:rsidR="009B5E65" w:rsidRDefault="009B5E65" w:rsidP="00086A1F">
            <w:pPr>
              <w:jc w:val="right"/>
              <w:rPr>
                <w:color w:val="000000"/>
                <w:sz w:val="20"/>
                <w:szCs w:val="20"/>
              </w:rPr>
            </w:pPr>
            <w:r>
              <w:rPr>
                <w:color w:val="000000"/>
                <w:sz w:val="20"/>
                <w:szCs w:val="20"/>
              </w:rPr>
              <w:t>20</w:t>
            </w:r>
            <w:r w:rsidRPr="00FA5745">
              <w:rPr>
                <w:color w:val="000000"/>
                <w:sz w:val="20"/>
                <w:szCs w:val="20"/>
              </w:rPr>
              <w:t>08</w:t>
            </w:r>
            <w:r>
              <w:rPr>
                <w:color w:val="000000"/>
                <w:sz w:val="20"/>
                <w:szCs w:val="20"/>
              </w:rPr>
              <w:t>:</w:t>
            </w:r>
            <w:r w:rsidR="00906FAF">
              <w:rPr>
                <w:color w:val="000000"/>
                <w:sz w:val="20"/>
                <w:szCs w:val="20"/>
              </w:rPr>
              <w:t>S</w:t>
            </w:r>
            <w:r>
              <w:rPr>
                <w:color w:val="000000"/>
                <w:sz w:val="20"/>
                <w:szCs w:val="20"/>
              </w:rPr>
              <w:t>1</w:t>
            </w:r>
          </w:p>
          <w:p w:rsidR="009B5E65" w:rsidRPr="00FA5745" w:rsidRDefault="009B5E65" w:rsidP="00086A1F">
            <w:pPr>
              <w:jc w:val="right"/>
              <w:rPr>
                <w:color w:val="000000"/>
                <w:sz w:val="20"/>
                <w:szCs w:val="20"/>
              </w:rPr>
            </w:pPr>
            <w:r>
              <w:rPr>
                <w:color w:val="000000"/>
                <w:sz w:val="20"/>
                <w:szCs w:val="20"/>
              </w:rPr>
              <w:t>(Jan-Jun)</w:t>
            </w:r>
          </w:p>
        </w:tc>
        <w:tc>
          <w:tcPr>
            <w:tcW w:w="1148" w:type="dxa"/>
            <w:tcBorders>
              <w:top w:val="single" w:sz="4" w:space="0" w:color="000000" w:themeColor="text1"/>
              <w:bottom w:val="single" w:sz="4" w:space="0" w:color="000000" w:themeColor="text1"/>
            </w:tcBorders>
            <w:vAlign w:val="bottom"/>
          </w:tcPr>
          <w:p w:rsidR="009B5E65" w:rsidRDefault="009B5E65" w:rsidP="00086A1F">
            <w:pPr>
              <w:jc w:val="right"/>
              <w:rPr>
                <w:color w:val="000000"/>
                <w:sz w:val="20"/>
                <w:szCs w:val="20"/>
              </w:rPr>
            </w:pPr>
            <w:r>
              <w:rPr>
                <w:color w:val="000000"/>
                <w:sz w:val="20"/>
                <w:szCs w:val="20"/>
              </w:rPr>
              <w:t>20</w:t>
            </w:r>
            <w:r w:rsidRPr="00FA5745">
              <w:rPr>
                <w:color w:val="000000"/>
                <w:sz w:val="20"/>
                <w:szCs w:val="20"/>
              </w:rPr>
              <w:t>08</w:t>
            </w:r>
            <w:r>
              <w:rPr>
                <w:color w:val="000000"/>
                <w:sz w:val="20"/>
                <w:szCs w:val="20"/>
              </w:rPr>
              <w:t>:</w:t>
            </w:r>
            <w:r w:rsidR="00906FAF">
              <w:rPr>
                <w:color w:val="000000"/>
                <w:sz w:val="20"/>
                <w:szCs w:val="20"/>
              </w:rPr>
              <w:t>S</w:t>
            </w:r>
            <w:r>
              <w:rPr>
                <w:color w:val="000000"/>
                <w:sz w:val="20"/>
                <w:szCs w:val="20"/>
              </w:rPr>
              <w:t>2</w:t>
            </w:r>
          </w:p>
          <w:p w:rsidR="009B5E65" w:rsidRPr="00FA5745" w:rsidRDefault="009B5E65" w:rsidP="00086A1F">
            <w:pPr>
              <w:jc w:val="right"/>
              <w:rPr>
                <w:color w:val="000000"/>
                <w:sz w:val="20"/>
                <w:szCs w:val="20"/>
              </w:rPr>
            </w:pPr>
            <w:r>
              <w:rPr>
                <w:color w:val="000000"/>
                <w:sz w:val="20"/>
                <w:szCs w:val="20"/>
              </w:rPr>
              <w:t>(Jul-Dec)</w:t>
            </w:r>
          </w:p>
        </w:tc>
        <w:tc>
          <w:tcPr>
            <w:tcW w:w="1147" w:type="dxa"/>
            <w:tcBorders>
              <w:top w:val="single" w:sz="4" w:space="0" w:color="000000" w:themeColor="text1"/>
              <w:bottom w:val="single" w:sz="4" w:space="0" w:color="000000" w:themeColor="text1"/>
            </w:tcBorders>
            <w:vAlign w:val="bottom"/>
          </w:tcPr>
          <w:p w:rsidR="009B5E65" w:rsidRDefault="009B5E65" w:rsidP="00086A1F">
            <w:pPr>
              <w:jc w:val="right"/>
              <w:rPr>
                <w:color w:val="000000"/>
                <w:sz w:val="20"/>
                <w:szCs w:val="20"/>
              </w:rPr>
            </w:pPr>
            <w:r>
              <w:rPr>
                <w:color w:val="000000"/>
                <w:sz w:val="20"/>
                <w:szCs w:val="20"/>
              </w:rPr>
              <w:t>20</w:t>
            </w:r>
            <w:r w:rsidRPr="00FA5745">
              <w:rPr>
                <w:color w:val="000000"/>
                <w:sz w:val="20"/>
                <w:szCs w:val="20"/>
              </w:rPr>
              <w:t>0</w:t>
            </w:r>
            <w:r>
              <w:rPr>
                <w:color w:val="000000"/>
                <w:sz w:val="20"/>
                <w:szCs w:val="20"/>
              </w:rPr>
              <w:t>9:</w:t>
            </w:r>
            <w:r w:rsidR="00906FAF">
              <w:rPr>
                <w:color w:val="000000"/>
                <w:sz w:val="20"/>
                <w:szCs w:val="20"/>
              </w:rPr>
              <w:t>S</w:t>
            </w:r>
            <w:r>
              <w:rPr>
                <w:color w:val="000000"/>
                <w:sz w:val="20"/>
                <w:szCs w:val="20"/>
              </w:rPr>
              <w:t>1</w:t>
            </w:r>
          </w:p>
          <w:p w:rsidR="009B5E65" w:rsidRPr="00FA5745" w:rsidRDefault="009B5E65" w:rsidP="00086A1F">
            <w:pPr>
              <w:jc w:val="right"/>
              <w:rPr>
                <w:color w:val="000000"/>
                <w:sz w:val="20"/>
                <w:szCs w:val="20"/>
              </w:rPr>
            </w:pPr>
            <w:r>
              <w:rPr>
                <w:color w:val="000000"/>
                <w:sz w:val="20"/>
                <w:szCs w:val="20"/>
              </w:rPr>
              <w:t>(Jan-Jun)</w:t>
            </w:r>
          </w:p>
        </w:tc>
        <w:tc>
          <w:tcPr>
            <w:tcW w:w="1148" w:type="dxa"/>
            <w:tcBorders>
              <w:top w:val="single" w:sz="4" w:space="0" w:color="000000" w:themeColor="text1"/>
              <w:bottom w:val="single" w:sz="4" w:space="0" w:color="000000" w:themeColor="text1"/>
            </w:tcBorders>
            <w:vAlign w:val="bottom"/>
          </w:tcPr>
          <w:p w:rsidR="009B5E65" w:rsidRDefault="009B5E65" w:rsidP="00086A1F">
            <w:pPr>
              <w:jc w:val="right"/>
              <w:rPr>
                <w:color w:val="000000"/>
                <w:sz w:val="20"/>
                <w:szCs w:val="20"/>
              </w:rPr>
            </w:pPr>
            <w:r>
              <w:rPr>
                <w:color w:val="000000"/>
                <w:sz w:val="20"/>
                <w:szCs w:val="20"/>
              </w:rPr>
              <w:t>20</w:t>
            </w:r>
            <w:r w:rsidRPr="00FA5745">
              <w:rPr>
                <w:color w:val="000000"/>
                <w:sz w:val="20"/>
                <w:szCs w:val="20"/>
              </w:rPr>
              <w:t>0</w:t>
            </w:r>
            <w:r>
              <w:rPr>
                <w:color w:val="000000"/>
                <w:sz w:val="20"/>
                <w:szCs w:val="20"/>
              </w:rPr>
              <w:t>9:</w:t>
            </w:r>
            <w:r w:rsidR="00906FAF">
              <w:rPr>
                <w:color w:val="000000"/>
                <w:sz w:val="20"/>
                <w:szCs w:val="20"/>
              </w:rPr>
              <w:t>S</w:t>
            </w:r>
            <w:r>
              <w:rPr>
                <w:color w:val="000000"/>
                <w:sz w:val="20"/>
                <w:szCs w:val="20"/>
              </w:rPr>
              <w:t>2</w:t>
            </w:r>
          </w:p>
          <w:p w:rsidR="009B5E65" w:rsidRPr="00FA5745" w:rsidRDefault="009B5E65" w:rsidP="00086A1F">
            <w:pPr>
              <w:jc w:val="right"/>
              <w:rPr>
                <w:color w:val="000000"/>
                <w:sz w:val="20"/>
                <w:szCs w:val="20"/>
              </w:rPr>
            </w:pPr>
            <w:r>
              <w:rPr>
                <w:color w:val="000000"/>
                <w:sz w:val="20"/>
                <w:szCs w:val="20"/>
              </w:rPr>
              <w:t>(Jul-Dec)</w:t>
            </w:r>
          </w:p>
        </w:tc>
      </w:tr>
      <w:tr w:rsidR="009B5E65" w:rsidRPr="00FA5745" w:rsidTr="00086A1F">
        <w:trPr>
          <w:trHeight w:hRule="exact" w:val="115"/>
        </w:trPr>
        <w:tc>
          <w:tcPr>
            <w:tcW w:w="1638" w:type="dxa"/>
            <w:tcBorders>
              <w:top w:val="single" w:sz="4" w:space="0" w:color="000000" w:themeColor="text1"/>
            </w:tcBorders>
            <w:vAlign w:val="bottom"/>
          </w:tcPr>
          <w:p w:rsidR="009B5E65" w:rsidRPr="00FA5745" w:rsidRDefault="009B5E65" w:rsidP="00086A1F">
            <w:pPr>
              <w:rPr>
                <w:color w:val="000000"/>
                <w:sz w:val="20"/>
                <w:szCs w:val="20"/>
              </w:rPr>
            </w:pPr>
          </w:p>
        </w:tc>
        <w:tc>
          <w:tcPr>
            <w:tcW w:w="1890" w:type="dxa"/>
            <w:tcBorders>
              <w:top w:val="single" w:sz="4" w:space="0" w:color="000000" w:themeColor="text1"/>
            </w:tcBorders>
            <w:vAlign w:val="bottom"/>
          </w:tcPr>
          <w:p w:rsidR="009B5E65" w:rsidRPr="00FA5745" w:rsidRDefault="009B5E65" w:rsidP="00086A1F">
            <w:pPr>
              <w:rPr>
                <w:color w:val="000000"/>
                <w:sz w:val="20"/>
                <w:szCs w:val="20"/>
              </w:rPr>
            </w:pPr>
          </w:p>
        </w:tc>
        <w:tc>
          <w:tcPr>
            <w:tcW w:w="1147" w:type="dxa"/>
            <w:tcBorders>
              <w:top w:val="single" w:sz="4" w:space="0" w:color="000000" w:themeColor="text1"/>
            </w:tcBorders>
            <w:vAlign w:val="bottom"/>
          </w:tcPr>
          <w:p w:rsidR="009B5E65" w:rsidRPr="00FA5745" w:rsidRDefault="009B5E65" w:rsidP="00086A1F">
            <w:pPr>
              <w:rPr>
                <w:color w:val="000000"/>
                <w:sz w:val="20"/>
                <w:szCs w:val="20"/>
              </w:rPr>
            </w:pPr>
          </w:p>
        </w:tc>
        <w:tc>
          <w:tcPr>
            <w:tcW w:w="1148" w:type="dxa"/>
            <w:tcBorders>
              <w:top w:val="single" w:sz="4" w:space="0" w:color="000000" w:themeColor="text1"/>
            </w:tcBorders>
            <w:vAlign w:val="bottom"/>
          </w:tcPr>
          <w:p w:rsidR="009B5E65" w:rsidRPr="00FA5745" w:rsidRDefault="009B5E65" w:rsidP="00086A1F">
            <w:pPr>
              <w:rPr>
                <w:color w:val="000000"/>
                <w:sz w:val="20"/>
                <w:szCs w:val="20"/>
              </w:rPr>
            </w:pPr>
          </w:p>
        </w:tc>
        <w:tc>
          <w:tcPr>
            <w:tcW w:w="1147" w:type="dxa"/>
            <w:tcBorders>
              <w:top w:val="single" w:sz="4" w:space="0" w:color="000000" w:themeColor="text1"/>
            </w:tcBorders>
            <w:vAlign w:val="bottom"/>
          </w:tcPr>
          <w:p w:rsidR="009B5E65" w:rsidRPr="00FA5745" w:rsidRDefault="009B5E65" w:rsidP="00086A1F">
            <w:pPr>
              <w:rPr>
                <w:color w:val="000000"/>
                <w:sz w:val="20"/>
                <w:szCs w:val="20"/>
              </w:rPr>
            </w:pPr>
          </w:p>
        </w:tc>
        <w:tc>
          <w:tcPr>
            <w:tcW w:w="1148" w:type="dxa"/>
            <w:tcBorders>
              <w:top w:val="single" w:sz="4" w:space="0" w:color="000000" w:themeColor="text1"/>
            </w:tcBorders>
            <w:vAlign w:val="bottom"/>
          </w:tcPr>
          <w:p w:rsidR="009B5E65" w:rsidRPr="00FA5745" w:rsidRDefault="009B5E65" w:rsidP="00086A1F">
            <w:pPr>
              <w:rPr>
                <w:color w:val="000000"/>
                <w:sz w:val="20"/>
                <w:szCs w:val="20"/>
              </w:rPr>
            </w:pPr>
          </w:p>
        </w:tc>
      </w:tr>
      <w:tr w:rsidR="009B5E65" w:rsidRPr="00FA5745" w:rsidTr="00086A1F">
        <w:tc>
          <w:tcPr>
            <w:tcW w:w="1638" w:type="dxa"/>
            <w:vAlign w:val="bottom"/>
          </w:tcPr>
          <w:p w:rsidR="009B5E65" w:rsidRPr="00FA5745" w:rsidRDefault="009B5E65" w:rsidP="00086A1F">
            <w:pPr>
              <w:rPr>
                <w:color w:val="000000"/>
                <w:sz w:val="20"/>
                <w:szCs w:val="20"/>
              </w:rPr>
            </w:pPr>
            <w:r w:rsidRPr="00FA5745">
              <w:rPr>
                <w:color w:val="000000"/>
                <w:sz w:val="20"/>
                <w:szCs w:val="20"/>
              </w:rPr>
              <w:t>World prices</w:t>
            </w:r>
          </w:p>
        </w:tc>
        <w:tc>
          <w:tcPr>
            <w:tcW w:w="1890" w:type="dxa"/>
            <w:vAlign w:val="bottom"/>
          </w:tcPr>
          <w:p w:rsidR="009B5E65" w:rsidRPr="00FA5745" w:rsidRDefault="009B5E65" w:rsidP="00086A1F">
            <w:pPr>
              <w:rPr>
                <w:color w:val="000000"/>
                <w:sz w:val="20"/>
                <w:szCs w:val="20"/>
              </w:rPr>
            </w:pPr>
            <w:r w:rsidRPr="00FA5745">
              <w:rPr>
                <w:color w:val="000000"/>
                <w:sz w:val="20"/>
                <w:szCs w:val="20"/>
              </w:rPr>
              <w:t>Rice</w:t>
            </w:r>
          </w:p>
        </w:tc>
        <w:tc>
          <w:tcPr>
            <w:tcW w:w="1147" w:type="dxa"/>
            <w:vAlign w:val="bottom"/>
          </w:tcPr>
          <w:p w:rsidR="009B5E65" w:rsidRPr="00FA5745" w:rsidRDefault="009B5E65" w:rsidP="00086A1F">
            <w:pPr>
              <w:jc w:val="right"/>
              <w:rPr>
                <w:color w:val="000000"/>
                <w:sz w:val="20"/>
                <w:szCs w:val="20"/>
              </w:rPr>
            </w:pPr>
            <w:r w:rsidRPr="00FA5745">
              <w:rPr>
                <w:color w:val="000000"/>
                <w:sz w:val="20"/>
                <w:szCs w:val="20"/>
              </w:rPr>
              <w:t>30.0</w:t>
            </w:r>
          </w:p>
        </w:tc>
        <w:tc>
          <w:tcPr>
            <w:tcW w:w="1148" w:type="dxa"/>
            <w:vAlign w:val="bottom"/>
          </w:tcPr>
          <w:p w:rsidR="009B5E65" w:rsidRPr="00FA5745" w:rsidRDefault="009B5E65" w:rsidP="00086A1F">
            <w:pPr>
              <w:jc w:val="right"/>
              <w:rPr>
                <w:color w:val="000000"/>
                <w:sz w:val="20"/>
                <w:szCs w:val="20"/>
              </w:rPr>
            </w:pPr>
            <w:r w:rsidRPr="00FA5745">
              <w:rPr>
                <w:color w:val="000000"/>
                <w:sz w:val="20"/>
                <w:szCs w:val="20"/>
              </w:rPr>
              <w:t>10.0</w:t>
            </w:r>
          </w:p>
        </w:tc>
        <w:tc>
          <w:tcPr>
            <w:tcW w:w="1147" w:type="dxa"/>
            <w:vAlign w:val="bottom"/>
          </w:tcPr>
          <w:p w:rsidR="009B5E65" w:rsidRPr="00FA5745" w:rsidRDefault="009B5E65" w:rsidP="002820FC">
            <w:pPr>
              <w:jc w:val="right"/>
              <w:rPr>
                <w:color w:val="000000"/>
                <w:sz w:val="20"/>
                <w:szCs w:val="20"/>
              </w:rPr>
            </w:pPr>
            <w:r w:rsidRPr="00FA5745">
              <w:rPr>
                <w:color w:val="000000"/>
                <w:sz w:val="20"/>
                <w:szCs w:val="20"/>
              </w:rPr>
              <w:t>-1</w:t>
            </w:r>
            <w:r w:rsidR="002820FC">
              <w:rPr>
                <w:color w:val="000000"/>
                <w:sz w:val="20"/>
                <w:szCs w:val="20"/>
              </w:rPr>
              <w:t>5</w:t>
            </w:r>
            <w:r w:rsidRPr="00FA5745">
              <w:rPr>
                <w:color w:val="000000"/>
                <w:sz w:val="20"/>
                <w:szCs w:val="20"/>
              </w:rPr>
              <w:t>.0</w:t>
            </w:r>
          </w:p>
        </w:tc>
        <w:tc>
          <w:tcPr>
            <w:tcW w:w="1148" w:type="dxa"/>
            <w:vAlign w:val="bottom"/>
          </w:tcPr>
          <w:p w:rsidR="009B5E65" w:rsidRPr="00FA5745" w:rsidRDefault="009B5E65" w:rsidP="00086A1F">
            <w:pPr>
              <w:jc w:val="right"/>
              <w:rPr>
                <w:color w:val="000000"/>
                <w:sz w:val="20"/>
                <w:szCs w:val="20"/>
              </w:rPr>
            </w:pPr>
            <w:r w:rsidRPr="00FA5745">
              <w:rPr>
                <w:color w:val="000000"/>
                <w:sz w:val="20"/>
                <w:szCs w:val="20"/>
              </w:rPr>
              <w:t>-5.0</w:t>
            </w:r>
          </w:p>
        </w:tc>
      </w:tr>
      <w:tr w:rsidR="009B5E65" w:rsidRPr="00FA5745" w:rsidTr="00086A1F">
        <w:tc>
          <w:tcPr>
            <w:tcW w:w="1638" w:type="dxa"/>
            <w:vAlign w:val="bottom"/>
          </w:tcPr>
          <w:p w:rsidR="009B5E65" w:rsidRPr="004130D8" w:rsidRDefault="009B5E65" w:rsidP="00136F3C">
            <w:pPr>
              <w:rPr>
                <w:i/>
                <w:color w:val="000000"/>
                <w:sz w:val="20"/>
                <w:szCs w:val="20"/>
              </w:rPr>
            </w:pPr>
            <w:r w:rsidRPr="004130D8">
              <w:rPr>
                <w:i/>
                <w:color w:val="000000"/>
                <w:sz w:val="20"/>
                <w:szCs w:val="20"/>
              </w:rPr>
              <w:t xml:space="preserve">   (</w:t>
            </w:r>
            <w:r w:rsidR="00136F3C">
              <w:rPr>
                <w:i/>
                <w:color w:val="000000"/>
                <w:sz w:val="20"/>
                <w:szCs w:val="20"/>
              </w:rPr>
              <w:t xml:space="preserve">for </w:t>
            </w:r>
            <w:r w:rsidRPr="004130D8">
              <w:rPr>
                <w:i/>
                <w:color w:val="000000"/>
                <w:sz w:val="20"/>
                <w:szCs w:val="20"/>
              </w:rPr>
              <w:t xml:space="preserve">selected </w:t>
            </w:r>
          </w:p>
        </w:tc>
        <w:tc>
          <w:tcPr>
            <w:tcW w:w="1890" w:type="dxa"/>
            <w:vAlign w:val="bottom"/>
          </w:tcPr>
          <w:p w:rsidR="009B5E65" w:rsidRPr="00FA5745" w:rsidRDefault="009B5E65" w:rsidP="00086A1F">
            <w:pPr>
              <w:rPr>
                <w:color w:val="000000"/>
                <w:sz w:val="20"/>
                <w:szCs w:val="20"/>
              </w:rPr>
            </w:pPr>
            <w:r w:rsidRPr="00FA5745">
              <w:rPr>
                <w:color w:val="000000"/>
                <w:sz w:val="20"/>
                <w:szCs w:val="20"/>
              </w:rPr>
              <w:t>Coffee</w:t>
            </w:r>
          </w:p>
        </w:tc>
        <w:tc>
          <w:tcPr>
            <w:tcW w:w="1147" w:type="dxa"/>
            <w:vAlign w:val="bottom"/>
          </w:tcPr>
          <w:p w:rsidR="009B5E65" w:rsidRPr="00FA5745" w:rsidRDefault="009B5E65" w:rsidP="00086A1F">
            <w:pPr>
              <w:jc w:val="right"/>
              <w:rPr>
                <w:color w:val="000000"/>
                <w:sz w:val="20"/>
                <w:szCs w:val="20"/>
              </w:rPr>
            </w:pPr>
            <w:r w:rsidRPr="00FA5745">
              <w:rPr>
                <w:color w:val="000000"/>
                <w:sz w:val="20"/>
                <w:szCs w:val="20"/>
              </w:rPr>
              <w:t>7.0</w:t>
            </w:r>
          </w:p>
        </w:tc>
        <w:tc>
          <w:tcPr>
            <w:tcW w:w="1148" w:type="dxa"/>
            <w:vAlign w:val="bottom"/>
          </w:tcPr>
          <w:p w:rsidR="009B5E65" w:rsidRPr="00FA5745" w:rsidRDefault="009B5E65" w:rsidP="00086A1F">
            <w:pPr>
              <w:jc w:val="right"/>
              <w:rPr>
                <w:color w:val="000000"/>
                <w:sz w:val="20"/>
                <w:szCs w:val="20"/>
              </w:rPr>
            </w:pPr>
            <w:r w:rsidRPr="00FA5745">
              <w:rPr>
                <w:color w:val="000000"/>
                <w:sz w:val="20"/>
                <w:szCs w:val="20"/>
              </w:rPr>
              <w:t>0.0</w:t>
            </w:r>
          </w:p>
        </w:tc>
        <w:tc>
          <w:tcPr>
            <w:tcW w:w="1147" w:type="dxa"/>
            <w:vAlign w:val="bottom"/>
          </w:tcPr>
          <w:p w:rsidR="009B5E65" w:rsidRPr="00FA5745" w:rsidRDefault="009B5E65" w:rsidP="002820FC">
            <w:pPr>
              <w:jc w:val="right"/>
              <w:rPr>
                <w:color w:val="000000"/>
                <w:sz w:val="20"/>
                <w:szCs w:val="20"/>
              </w:rPr>
            </w:pPr>
            <w:r w:rsidRPr="00FA5745">
              <w:rPr>
                <w:color w:val="000000"/>
                <w:sz w:val="20"/>
                <w:szCs w:val="20"/>
              </w:rPr>
              <w:t>-</w:t>
            </w:r>
            <w:r w:rsidR="002820FC">
              <w:rPr>
                <w:color w:val="000000"/>
                <w:sz w:val="20"/>
                <w:szCs w:val="20"/>
              </w:rPr>
              <w:t>15</w:t>
            </w:r>
            <w:r w:rsidRPr="00FA5745">
              <w:rPr>
                <w:color w:val="000000"/>
                <w:sz w:val="20"/>
                <w:szCs w:val="20"/>
              </w:rPr>
              <w:t>.0</w:t>
            </w:r>
          </w:p>
        </w:tc>
        <w:tc>
          <w:tcPr>
            <w:tcW w:w="1148" w:type="dxa"/>
            <w:vAlign w:val="bottom"/>
          </w:tcPr>
          <w:p w:rsidR="009B5E65" w:rsidRPr="00FA5745" w:rsidRDefault="009B5E65" w:rsidP="002820FC">
            <w:pPr>
              <w:jc w:val="right"/>
              <w:rPr>
                <w:color w:val="000000"/>
                <w:sz w:val="20"/>
                <w:szCs w:val="20"/>
              </w:rPr>
            </w:pPr>
            <w:r w:rsidRPr="00FA5745">
              <w:rPr>
                <w:color w:val="000000"/>
                <w:sz w:val="20"/>
                <w:szCs w:val="20"/>
              </w:rPr>
              <w:t>-</w:t>
            </w:r>
            <w:r w:rsidR="002820FC">
              <w:rPr>
                <w:color w:val="000000"/>
                <w:sz w:val="20"/>
                <w:szCs w:val="20"/>
              </w:rPr>
              <w:t>3</w:t>
            </w:r>
            <w:r w:rsidRPr="00FA5745">
              <w:rPr>
                <w:color w:val="000000"/>
                <w:sz w:val="20"/>
                <w:szCs w:val="20"/>
              </w:rPr>
              <w:t>.0</w:t>
            </w:r>
          </w:p>
        </w:tc>
      </w:tr>
      <w:tr w:rsidR="009B5E65" w:rsidRPr="00FA5745" w:rsidTr="00086A1F">
        <w:tc>
          <w:tcPr>
            <w:tcW w:w="1638" w:type="dxa"/>
            <w:vAlign w:val="bottom"/>
          </w:tcPr>
          <w:p w:rsidR="009B5E65" w:rsidRPr="004130D8" w:rsidRDefault="009B5E65" w:rsidP="00136F3C">
            <w:pPr>
              <w:rPr>
                <w:i/>
                <w:color w:val="000000"/>
                <w:sz w:val="20"/>
                <w:szCs w:val="20"/>
              </w:rPr>
            </w:pPr>
            <w:r w:rsidRPr="004130D8">
              <w:rPr>
                <w:i/>
                <w:color w:val="000000"/>
                <w:sz w:val="20"/>
                <w:szCs w:val="20"/>
              </w:rPr>
              <w:t xml:space="preserve">    </w:t>
            </w:r>
            <w:r w:rsidR="00136F3C">
              <w:rPr>
                <w:i/>
                <w:color w:val="000000"/>
                <w:sz w:val="20"/>
                <w:szCs w:val="20"/>
              </w:rPr>
              <w:t>p</w:t>
            </w:r>
            <w:r w:rsidRPr="004130D8">
              <w:rPr>
                <w:i/>
                <w:color w:val="000000"/>
                <w:sz w:val="20"/>
                <w:szCs w:val="20"/>
              </w:rPr>
              <w:t>roducts</w:t>
            </w:r>
            <w:r w:rsidR="00136F3C">
              <w:rPr>
                <w:i/>
                <w:color w:val="000000"/>
                <w:sz w:val="20"/>
                <w:szCs w:val="20"/>
              </w:rPr>
              <w:t>)</w:t>
            </w:r>
          </w:p>
        </w:tc>
        <w:tc>
          <w:tcPr>
            <w:tcW w:w="1890" w:type="dxa"/>
            <w:vAlign w:val="bottom"/>
          </w:tcPr>
          <w:p w:rsidR="009B5E65" w:rsidRPr="00FA5745" w:rsidRDefault="009B5E65" w:rsidP="00086A1F">
            <w:pPr>
              <w:rPr>
                <w:color w:val="000000"/>
                <w:sz w:val="20"/>
                <w:szCs w:val="20"/>
              </w:rPr>
            </w:pPr>
            <w:r>
              <w:rPr>
                <w:color w:val="000000"/>
                <w:sz w:val="20"/>
                <w:szCs w:val="20"/>
              </w:rPr>
              <w:t>Coal</w:t>
            </w:r>
          </w:p>
        </w:tc>
        <w:tc>
          <w:tcPr>
            <w:tcW w:w="1147" w:type="dxa"/>
            <w:vAlign w:val="bottom"/>
          </w:tcPr>
          <w:p w:rsidR="009B5E65" w:rsidRPr="00FA5745" w:rsidRDefault="009B5E65" w:rsidP="00086A1F">
            <w:pPr>
              <w:jc w:val="right"/>
              <w:rPr>
                <w:color w:val="000000"/>
                <w:sz w:val="20"/>
                <w:szCs w:val="20"/>
              </w:rPr>
            </w:pPr>
            <w:r>
              <w:rPr>
                <w:color w:val="000000"/>
                <w:sz w:val="20"/>
                <w:szCs w:val="20"/>
              </w:rPr>
              <w:t>30.0</w:t>
            </w:r>
          </w:p>
        </w:tc>
        <w:tc>
          <w:tcPr>
            <w:tcW w:w="1148" w:type="dxa"/>
            <w:vAlign w:val="bottom"/>
          </w:tcPr>
          <w:p w:rsidR="009B5E65" w:rsidRPr="00FA5745" w:rsidRDefault="002820FC" w:rsidP="00086A1F">
            <w:pPr>
              <w:jc w:val="right"/>
              <w:rPr>
                <w:color w:val="000000"/>
                <w:sz w:val="20"/>
                <w:szCs w:val="20"/>
              </w:rPr>
            </w:pPr>
            <w:r>
              <w:rPr>
                <w:color w:val="000000"/>
                <w:sz w:val="20"/>
                <w:szCs w:val="20"/>
              </w:rPr>
              <w:t>10</w:t>
            </w:r>
            <w:r w:rsidR="009B5E65">
              <w:rPr>
                <w:color w:val="000000"/>
                <w:sz w:val="20"/>
                <w:szCs w:val="20"/>
              </w:rPr>
              <w:t>.0</w:t>
            </w:r>
          </w:p>
        </w:tc>
        <w:tc>
          <w:tcPr>
            <w:tcW w:w="1147" w:type="dxa"/>
            <w:vAlign w:val="bottom"/>
          </w:tcPr>
          <w:p w:rsidR="009B5E65" w:rsidRPr="00FA5745" w:rsidRDefault="009B5E65" w:rsidP="002820FC">
            <w:pPr>
              <w:jc w:val="right"/>
              <w:rPr>
                <w:color w:val="000000"/>
                <w:sz w:val="20"/>
                <w:szCs w:val="20"/>
              </w:rPr>
            </w:pPr>
            <w:r>
              <w:rPr>
                <w:color w:val="000000"/>
                <w:sz w:val="20"/>
                <w:szCs w:val="20"/>
              </w:rPr>
              <w:t>-</w:t>
            </w:r>
            <w:r w:rsidR="002820FC">
              <w:rPr>
                <w:color w:val="000000"/>
                <w:sz w:val="20"/>
                <w:szCs w:val="20"/>
              </w:rPr>
              <w:t>3</w:t>
            </w:r>
            <w:r>
              <w:rPr>
                <w:color w:val="000000"/>
                <w:sz w:val="20"/>
                <w:szCs w:val="20"/>
              </w:rPr>
              <w:t>0.0</w:t>
            </w:r>
          </w:p>
        </w:tc>
        <w:tc>
          <w:tcPr>
            <w:tcW w:w="1148" w:type="dxa"/>
            <w:vAlign w:val="bottom"/>
          </w:tcPr>
          <w:p w:rsidR="009B5E65" w:rsidRPr="00FA5745" w:rsidRDefault="009B5E65" w:rsidP="00086A1F">
            <w:pPr>
              <w:jc w:val="right"/>
              <w:rPr>
                <w:color w:val="000000"/>
                <w:sz w:val="20"/>
                <w:szCs w:val="20"/>
              </w:rPr>
            </w:pPr>
            <w:r>
              <w:rPr>
                <w:color w:val="000000"/>
                <w:sz w:val="20"/>
                <w:szCs w:val="20"/>
              </w:rPr>
              <w:t>0.0</w:t>
            </w:r>
          </w:p>
        </w:tc>
      </w:tr>
      <w:tr w:rsidR="009B5E65" w:rsidRPr="00FA5745" w:rsidTr="00086A1F">
        <w:tc>
          <w:tcPr>
            <w:tcW w:w="1638" w:type="dxa"/>
            <w:vAlign w:val="bottom"/>
          </w:tcPr>
          <w:p w:rsidR="009B5E65" w:rsidRPr="00051DAD" w:rsidRDefault="009B5E65" w:rsidP="00086A1F">
            <w:pPr>
              <w:rPr>
                <w:i/>
                <w:color w:val="000000"/>
                <w:sz w:val="20"/>
                <w:szCs w:val="20"/>
              </w:rPr>
            </w:pPr>
          </w:p>
        </w:tc>
        <w:tc>
          <w:tcPr>
            <w:tcW w:w="1890" w:type="dxa"/>
            <w:vAlign w:val="bottom"/>
          </w:tcPr>
          <w:p w:rsidR="009B5E65" w:rsidRPr="00FA5745" w:rsidRDefault="00A90031" w:rsidP="00086A1F">
            <w:pPr>
              <w:rPr>
                <w:color w:val="000000"/>
                <w:sz w:val="20"/>
                <w:szCs w:val="20"/>
              </w:rPr>
            </w:pPr>
            <w:r>
              <w:rPr>
                <w:color w:val="000000"/>
                <w:sz w:val="20"/>
                <w:szCs w:val="20"/>
              </w:rPr>
              <w:t>Oil and fuel</w:t>
            </w:r>
          </w:p>
        </w:tc>
        <w:tc>
          <w:tcPr>
            <w:tcW w:w="1147" w:type="dxa"/>
            <w:vAlign w:val="bottom"/>
          </w:tcPr>
          <w:p w:rsidR="009B5E65" w:rsidRPr="00FA5745" w:rsidRDefault="009B5E65" w:rsidP="00086A1F">
            <w:pPr>
              <w:jc w:val="right"/>
              <w:rPr>
                <w:color w:val="000000"/>
                <w:sz w:val="20"/>
                <w:szCs w:val="20"/>
              </w:rPr>
            </w:pPr>
            <w:r w:rsidRPr="00FA5745">
              <w:rPr>
                <w:color w:val="000000"/>
                <w:sz w:val="20"/>
                <w:szCs w:val="20"/>
              </w:rPr>
              <w:t>10.0</w:t>
            </w:r>
          </w:p>
        </w:tc>
        <w:tc>
          <w:tcPr>
            <w:tcW w:w="1148" w:type="dxa"/>
            <w:vAlign w:val="bottom"/>
          </w:tcPr>
          <w:p w:rsidR="009B5E65" w:rsidRPr="00FA5745" w:rsidRDefault="002820FC" w:rsidP="00086A1F">
            <w:pPr>
              <w:jc w:val="right"/>
              <w:rPr>
                <w:color w:val="000000"/>
                <w:sz w:val="20"/>
                <w:szCs w:val="20"/>
              </w:rPr>
            </w:pPr>
            <w:r>
              <w:rPr>
                <w:color w:val="000000"/>
                <w:sz w:val="20"/>
                <w:szCs w:val="20"/>
              </w:rPr>
              <w:t>0</w:t>
            </w:r>
            <w:r w:rsidR="009B5E65" w:rsidRPr="00FA5745">
              <w:rPr>
                <w:color w:val="000000"/>
                <w:sz w:val="20"/>
                <w:szCs w:val="20"/>
              </w:rPr>
              <w:t>.0</w:t>
            </w:r>
          </w:p>
        </w:tc>
        <w:tc>
          <w:tcPr>
            <w:tcW w:w="1147" w:type="dxa"/>
            <w:vAlign w:val="bottom"/>
          </w:tcPr>
          <w:p w:rsidR="009B5E65" w:rsidRPr="00FA5745" w:rsidRDefault="009B5E65" w:rsidP="00086A1F">
            <w:pPr>
              <w:jc w:val="right"/>
              <w:rPr>
                <w:color w:val="000000"/>
                <w:sz w:val="20"/>
                <w:szCs w:val="20"/>
              </w:rPr>
            </w:pPr>
            <w:r w:rsidRPr="00FA5745">
              <w:rPr>
                <w:color w:val="000000"/>
                <w:sz w:val="20"/>
                <w:szCs w:val="20"/>
              </w:rPr>
              <w:t>-20.0</w:t>
            </w:r>
          </w:p>
        </w:tc>
        <w:tc>
          <w:tcPr>
            <w:tcW w:w="1148" w:type="dxa"/>
            <w:vAlign w:val="bottom"/>
          </w:tcPr>
          <w:p w:rsidR="009B5E65" w:rsidRPr="00FA5745" w:rsidRDefault="002820FC" w:rsidP="00086A1F">
            <w:pPr>
              <w:jc w:val="right"/>
              <w:rPr>
                <w:color w:val="000000"/>
                <w:sz w:val="20"/>
                <w:szCs w:val="20"/>
              </w:rPr>
            </w:pPr>
            <w:r>
              <w:rPr>
                <w:color w:val="000000"/>
                <w:sz w:val="20"/>
                <w:szCs w:val="20"/>
              </w:rPr>
              <w:t>-15</w:t>
            </w:r>
            <w:r w:rsidR="009B5E65" w:rsidRPr="00FA5745">
              <w:rPr>
                <w:color w:val="000000"/>
                <w:sz w:val="20"/>
                <w:szCs w:val="20"/>
              </w:rPr>
              <w:t>.0</w:t>
            </w:r>
          </w:p>
        </w:tc>
      </w:tr>
      <w:tr w:rsidR="009B5E65" w:rsidRPr="00FA5745" w:rsidTr="00086A1F">
        <w:tc>
          <w:tcPr>
            <w:tcW w:w="1638" w:type="dxa"/>
            <w:vAlign w:val="bottom"/>
          </w:tcPr>
          <w:p w:rsidR="009B5E65" w:rsidRPr="00FA5745" w:rsidRDefault="009B5E65" w:rsidP="00086A1F">
            <w:pPr>
              <w:rPr>
                <w:color w:val="000000"/>
                <w:sz w:val="20"/>
                <w:szCs w:val="20"/>
              </w:rPr>
            </w:pPr>
          </w:p>
        </w:tc>
        <w:tc>
          <w:tcPr>
            <w:tcW w:w="1890" w:type="dxa"/>
            <w:vAlign w:val="bottom"/>
          </w:tcPr>
          <w:p w:rsidR="009B5E65" w:rsidRPr="00FA5745" w:rsidRDefault="009B5E65" w:rsidP="00086A1F">
            <w:pPr>
              <w:rPr>
                <w:color w:val="000000"/>
                <w:sz w:val="20"/>
                <w:szCs w:val="20"/>
              </w:rPr>
            </w:pPr>
            <w:r w:rsidRPr="00FA5745">
              <w:rPr>
                <w:color w:val="000000"/>
                <w:sz w:val="20"/>
                <w:szCs w:val="20"/>
              </w:rPr>
              <w:t>Textiles</w:t>
            </w:r>
            <w:r w:rsidR="00136F3C">
              <w:rPr>
                <w:color w:val="000000"/>
                <w:sz w:val="20"/>
                <w:szCs w:val="20"/>
              </w:rPr>
              <w:t xml:space="preserve"> and clothing</w:t>
            </w:r>
          </w:p>
        </w:tc>
        <w:tc>
          <w:tcPr>
            <w:tcW w:w="1147" w:type="dxa"/>
            <w:vAlign w:val="bottom"/>
          </w:tcPr>
          <w:p w:rsidR="009B5E65" w:rsidRPr="00FA5745" w:rsidRDefault="00030CB9" w:rsidP="00086A1F">
            <w:pPr>
              <w:jc w:val="right"/>
              <w:rPr>
                <w:color w:val="000000"/>
                <w:sz w:val="20"/>
                <w:szCs w:val="20"/>
              </w:rPr>
            </w:pPr>
            <w:r>
              <w:rPr>
                <w:color w:val="000000"/>
                <w:sz w:val="20"/>
                <w:szCs w:val="20"/>
              </w:rPr>
              <w:t>5</w:t>
            </w:r>
            <w:r w:rsidR="009B5E65" w:rsidRPr="00FA5745">
              <w:rPr>
                <w:color w:val="000000"/>
                <w:sz w:val="20"/>
                <w:szCs w:val="20"/>
              </w:rPr>
              <w:t>.0</w:t>
            </w:r>
          </w:p>
        </w:tc>
        <w:tc>
          <w:tcPr>
            <w:tcW w:w="1148" w:type="dxa"/>
            <w:vAlign w:val="bottom"/>
          </w:tcPr>
          <w:p w:rsidR="009B5E65" w:rsidRPr="00FA5745" w:rsidRDefault="009B5E65" w:rsidP="00086A1F">
            <w:pPr>
              <w:jc w:val="right"/>
              <w:rPr>
                <w:color w:val="000000"/>
                <w:sz w:val="20"/>
                <w:szCs w:val="20"/>
              </w:rPr>
            </w:pPr>
            <w:r w:rsidRPr="00FA5745">
              <w:rPr>
                <w:color w:val="000000"/>
                <w:sz w:val="20"/>
                <w:szCs w:val="20"/>
              </w:rPr>
              <w:t>0.0</w:t>
            </w:r>
          </w:p>
        </w:tc>
        <w:tc>
          <w:tcPr>
            <w:tcW w:w="1147" w:type="dxa"/>
            <w:vAlign w:val="bottom"/>
          </w:tcPr>
          <w:p w:rsidR="009B5E65" w:rsidRPr="00FA5745" w:rsidRDefault="009B5E65" w:rsidP="00086A1F">
            <w:pPr>
              <w:jc w:val="right"/>
              <w:rPr>
                <w:color w:val="000000"/>
                <w:sz w:val="20"/>
                <w:szCs w:val="20"/>
              </w:rPr>
            </w:pPr>
            <w:r w:rsidRPr="00FA5745">
              <w:rPr>
                <w:color w:val="000000"/>
                <w:sz w:val="20"/>
                <w:szCs w:val="20"/>
              </w:rPr>
              <w:t>-10.0</w:t>
            </w:r>
          </w:p>
        </w:tc>
        <w:tc>
          <w:tcPr>
            <w:tcW w:w="1148" w:type="dxa"/>
            <w:vAlign w:val="bottom"/>
          </w:tcPr>
          <w:p w:rsidR="009B5E65" w:rsidRPr="00FA5745" w:rsidRDefault="002820FC" w:rsidP="00086A1F">
            <w:pPr>
              <w:jc w:val="right"/>
              <w:rPr>
                <w:color w:val="000000"/>
                <w:sz w:val="20"/>
                <w:szCs w:val="20"/>
              </w:rPr>
            </w:pPr>
            <w:r>
              <w:rPr>
                <w:color w:val="000000"/>
                <w:sz w:val="20"/>
                <w:szCs w:val="20"/>
              </w:rPr>
              <w:t>7</w:t>
            </w:r>
            <w:r w:rsidR="009B5E65" w:rsidRPr="00FA5745">
              <w:rPr>
                <w:color w:val="000000"/>
                <w:sz w:val="20"/>
                <w:szCs w:val="20"/>
              </w:rPr>
              <w:t>.0</w:t>
            </w:r>
          </w:p>
        </w:tc>
      </w:tr>
      <w:tr w:rsidR="009B5E65" w:rsidRPr="00FA5745" w:rsidTr="00086A1F">
        <w:tc>
          <w:tcPr>
            <w:tcW w:w="1638" w:type="dxa"/>
            <w:vAlign w:val="bottom"/>
          </w:tcPr>
          <w:p w:rsidR="009B5E65" w:rsidRPr="00FA5745" w:rsidRDefault="009B5E65" w:rsidP="00086A1F">
            <w:pPr>
              <w:rPr>
                <w:color w:val="000000"/>
                <w:sz w:val="20"/>
                <w:szCs w:val="20"/>
              </w:rPr>
            </w:pPr>
          </w:p>
        </w:tc>
        <w:tc>
          <w:tcPr>
            <w:tcW w:w="1890" w:type="dxa"/>
            <w:vAlign w:val="bottom"/>
          </w:tcPr>
          <w:p w:rsidR="009B5E65" w:rsidRPr="00FA5745" w:rsidRDefault="009B5E65" w:rsidP="00086A1F">
            <w:pPr>
              <w:rPr>
                <w:color w:val="000000"/>
                <w:sz w:val="20"/>
                <w:szCs w:val="20"/>
              </w:rPr>
            </w:pPr>
            <w:r w:rsidRPr="00FA5745">
              <w:rPr>
                <w:color w:val="000000"/>
                <w:sz w:val="20"/>
                <w:szCs w:val="20"/>
              </w:rPr>
              <w:t>Fertilizer</w:t>
            </w:r>
          </w:p>
        </w:tc>
        <w:tc>
          <w:tcPr>
            <w:tcW w:w="1147" w:type="dxa"/>
            <w:vAlign w:val="bottom"/>
          </w:tcPr>
          <w:p w:rsidR="009B5E65" w:rsidRPr="00FA5745" w:rsidRDefault="009B5E65" w:rsidP="00086A1F">
            <w:pPr>
              <w:jc w:val="right"/>
              <w:rPr>
                <w:color w:val="000000"/>
                <w:sz w:val="20"/>
                <w:szCs w:val="20"/>
              </w:rPr>
            </w:pPr>
            <w:r w:rsidRPr="00FA5745">
              <w:rPr>
                <w:color w:val="000000"/>
                <w:sz w:val="20"/>
                <w:szCs w:val="20"/>
              </w:rPr>
              <w:t>30.0</w:t>
            </w:r>
          </w:p>
        </w:tc>
        <w:tc>
          <w:tcPr>
            <w:tcW w:w="1148" w:type="dxa"/>
            <w:vAlign w:val="bottom"/>
          </w:tcPr>
          <w:p w:rsidR="009B5E65" w:rsidRPr="00FA5745" w:rsidRDefault="009B5E65" w:rsidP="00086A1F">
            <w:pPr>
              <w:jc w:val="right"/>
              <w:rPr>
                <w:color w:val="000000"/>
                <w:sz w:val="20"/>
                <w:szCs w:val="20"/>
              </w:rPr>
            </w:pPr>
            <w:r w:rsidRPr="00FA5745">
              <w:rPr>
                <w:color w:val="000000"/>
                <w:sz w:val="20"/>
                <w:szCs w:val="20"/>
              </w:rPr>
              <w:t>20.0</w:t>
            </w:r>
          </w:p>
        </w:tc>
        <w:tc>
          <w:tcPr>
            <w:tcW w:w="1147" w:type="dxa"/>
            <w:vAlign w:val="bottom"/>
          </w:tcPr>
          <w:p w:rsidR="009B5E65" w:rsidRPr="00FA5745" w:rsidRDefault="009B5E65" w:rsidP="00086A1F">
            <w:pPr>
              <w:jc w:val="right"/>
              <w:rPr>
                <w:color w:val="000000"/>
                <w:sz w:val="20"/>
                <w:szCs w:val="20"/>
              </w:rPr>
            </w:pPr>
            <w:r w:rsidRPr="00FA5745">
              <w:rPr>
                <w:color w:val="000000"/>
                <w:sz w:val="20"/>
                <w:szCs w:val="20"/>
              </w:rPr>
              <w:t>-30.0</w:t>
            </w:r>
          </w:p>
        </w:tc>
        <w:tc>
          <w:tcPr>
            <w:tcW w:w="1148" w:type="dxa"/>
            <w:vAlign w:val="bottom"/>
          </w:tcPr>
          <w:p w:rsidR="009B5E65" w:rsidRPr="00FA5745" w:rsidRDefault="009B5E65" w:rsidP="00086A1F">
            <w:pPr>
              <w:jc w:val="right"/>
              <w:rPr>
                <w:color w:val="000000"/>
                <w:sz w:val="20"/>
                <w:szCs w:val="20"/>
              </w:rPr>
            </w:pPr>
            <w:r w:rsidRPr="00FA5745">
              <w:rPr>
                <w:color w:val="000000"/>
                <w:sz w:val="20"/>
                <w:szCs w:val="20"/>
              </w:rPr>
              <w:t>-15.0</w:t>
            </w:r>
          </w:p>
        </w:tc>
      </w:tr>
      <w:tr w:rsidR="009B5E65" w:rsidRPr="00FA5745" w:rsidTr="00086A1F">
        <w:tc>
          <w:tcPr>
            <w:tcW w:w="1638" w:type="dxa"/>
            <w:vAlign w:val="bottom"/>
          </w:tcPr>
          <w:p w:rsidR="009B5E65" w:rsidRPr="00FA5745" w:rsidRDefault="009B5E65" w:rsidP="00086A1F">
            <w:pPr>
              <w:rPr>
                <w:color w:val="000000"/>
                <w:sz w:val="20"/>
                <w:szCs w:val="20"/>
              </w:rPr>
            </w:pPr>
          </w:p>
        </w:tc>
        <w:tc>
          <w:tcPr>
            <w:tcW w:w="1890" w:type="dxa"/>
            <w:vAlign w:val="bottom"/>
          </w:tcPr>
          <w:p w:rsidR="009B5E65" w:rsidRPr="00FA5745" w:rsidRDefault="009B5E65" w:rsidP="00086A1F">
            <w:pPr>
              <w:rPr>
                <w:color w:val="000000"/>
                <w:sz w:val="20"/>
                <w:szCs w:val="20"/>
              </w:rPr>
            </w:pPr>
            <w:r w:rsidRPr="00FA5745">
              <w:rPr>
                <w:color w:val="000000"/>
                <w:sz w:val="20"/>
                <w:szCs w:val="20"/>
              </w:rPr>
              <w:t>Machinery</w:t>
            </w:r>
          </w:p>
        </w:tc>
        <w:tc>
          <w:tcPr>
            <w:tcW w:w="1147" w:type="dxa"/>
            <w:vAlign w:val="bottom"/>
          </w:tcPr>
          <w:p w:rsidR="009B5E65" w:rsidRPr="00FA5745" w:rsidRDefault="002820FC" w:rsidP="00086A1F">
            <w:pPr>
              <w:jc w:val="right"/>
              <w:rPr>
                <w:color w:val="000000"/>
                <w:sz w:val="20"/>
                <w:szCs w:val="20"/>
              </w:rPr>
            </w:pPr>
            <w:r>
              <w:rPr>
                <w:color w:val="000000"/>
                <w:sz w:val="20"/>
                <w:szCs w:val="20"/>
              </w:rPr>
              <w:t>5</w:t>
            </w:r>
            <w:r w:rsidR="009B5E65" w:rsidRPr="00FA5745">
              <w:rPr>
                <w:color w:val="000000"/>
                <w:sz w:val="20"/>
                <w:szCs w:val="20"/>
              </w:rPr>
              <w:t>.0</w:t>
            </w:r>
          </w:p>
        </w:tc>
        <w:tc>
          <w:tcPr>
            <w:tcW w:w="1148" w:type="dxa"/>
            <w:vAlign w:val="bottom"/>
          </w:tcPr>
          <w:p w:rsidR="009B5E65" w:rsidRPr="00FA5745" w:rsidRDefault="002820FC" w:rsidP="002820FC">
            <w:pPr>
              <w:jc w:val="right"/>
              <w:rPr>
                <w:color w:val="000000"/>
                <w:sz w:val="20"/>
                <w:szCs w:val="20"/>
              </w:rPr>
            </w:pPr>
            <w:r>
              <w:rPr>
                <w:color w:val="000000"/>
                <w:sz w:val="20"/>
                <w:szCs w:val="20"/>
              </w:rPr>
              <w:t>-5</w:t>
            </w:r>
            <w:r w:rsidR="009B5E65" w:rsidRPr="00FA5745">
              <w:rPr>
                <w:color w:val="000000"/>
                <w:sz w:val="20"/>
                <w:szCs w:val="20"/>
              </w:rPr>
              <w:t>.0</w:t>
            </w:r>
          </w:p>
        </w:tc>
        <w:tc>
          <w:tcPr>
            <w:tcW w:w="1147" w:type="dxa"/>
            <w:vAlign w:val="bottom"/>
          </w:tcPr>
          <w:p w:rsidR="009B5E65" w:rsidRPr="00FA5745" w:rsidRDefault="009B5E65" w:rsidP="002820FC">
            <w:pPr>
              <w:jc w:val="right"/>
              <w:rPr>
                <w:color w:val="000000"/>
                <w:sz w:val="20"/>
                <w:szCs w:val="20"/>
              </w:rPr>
            </w:pPr>
            <w:r w:rsidRPr="00FA5745">
              <w:rPr>
                <w:color w:val="000000"/>
                <w:sz w:val="20"/>
                <w:szCs w:val="20"/>
              </w:rPr>
              <w:t>-</w:t>
            </w:r>
            <w:r w:rsidR="002820FC">
              <w:rPr>
                <w:color w:val="000000"/>
                <w:sz w:val="20"/>
                <w:szCs w:val="20"/>
              </w:rPr>
              <w:t>10</w:t>
            </w:r>
            <w:r w:rsidRPr="00FA5745">
              <w:rPr>
                <w:color w:val="000000"/>
                <w:sz w:val="20"/>
                <w:szCs w:val="20"/>
              </w:rPr>
              <w:t>.0</w:t>
            </w:r>
          </w:p>
        </w:tc>
        <w:tc>
          <w:tcPr>
            <w:tcW w:w="1148" w:type="dxa"/>
            <w:vAlign w:val="bottom"/>
          </w:tcPr>
          <w:p w:rsidR="009B5E65" w:rsidRPr="00FA5745" w:rsidRDefault="00B65AC5" w:rsidP="00086A1F">
            <w:pPr>
              <w:jc w:val="right"/>
              <w:rPr>
                <w:color w:val="000000"/>
                <w:sz w:val="20"/>
                <w:szCs w:val="20"/>
              </w:rPr>
            </w:pPr>
            <w:r>
              <w:rPr>
                <w:color w:val="000000"/>
                <w:sz w:val="20"/>
                <w:szCs w:val="20"/>
              </w:rPr>
              <w:t>0</w:t>
            </w:r>
            <w:r w:rsidR="009B5E65" w:rsidRPr="00FA5745">
              <w:rPr>
                <w:color w:val="000000"/>
                <w:sz w:val="20"/>
                <w:szCs w:val="20"/>
              </w:rPr>
              <w:t>.0</w:t>
            </w:r>
          </w:p>
        </w:tc>
      </w:tr>
      <w:tr w:rsidR="009B5E65" w:rsidRPr="00FA5745" w:rsidTr="00086A1F">
        <w:trPr>
          <w:trHeight w:hRule="exact" w:val="115"/>
        </w:trPr>
        <w:tc>
          <w:tcPr>
            <w:tcW w:w="1638" w:type="dxa"/>
            <w:vAlign w:val="bottom"/>
          </w:tcPr>
          <w:p w:rsidR="009B5E65" w:rsidRPr="00FA5745" w:rsidRDefault="009B5E65" w:rsidP="00086A1F">
            <w:pPr>
              <w:rPr>
                <w:color w:val="000000"/>
                <w:sz w:val="20"/>
                <w:szCs w:val="20"/>
              </w:rPr>
            </w:pPr>
          </w:p>
        </w:tc>
        <w:tc>
          <w:tcPr>
            <w:tcW w:w="1890" w:type="dxa"/>
            <w:vAlign w:val="bottom"/>
          </w:tcPr>
          <w:p w:rsidR="009B5E65" w:rsidRPr="00FA5745" w:rsidRDefault="009B5E65" w:rsidP="00086A1F">
            <w:pPr>
              <w:rPr>
                <w:color w:val="000000"/>
                <w:sz w:val="20"/>
                <w:szCs w:val="20"/>
              </w:rPr>
            </w:pPr>
          </w:p>
        </w:tc>
        <w:tc>
          <w:tcPr>
            <w:tcW w:w="1147" w:type="dxa"/>
            <w:vAlign w:val="bottom"/>
          </w:tcPr>
          <w:p w:rsidR="009B5E65" w:rsidRPr="00FA5745" w:rsidRDefault="009B5E65" w:rsidP="00086A1F">
            <w:pPr>
              <w:rPr>
                <w:color w:val="000000"/>
                <w:sz w:val="20"/>
                <w:szCs w:val="20"/>
              </w:rPr>
            </w:pPr>
          </w:p>
        </w:tc>
        <w:tc>
          <w:tcPr>
            <w:tcW w:w="1148" w:type="dxa"/>
            <w:vAlign w:val="bottom"/>
          </w:tcPr>
          <w:p w:rsidR="009B5E65" w:rsidRPr="00FA5745" w:rsidRDefault="009B5E65" w:rsidP="00086A1F">
            <w:pPr>
              <w:rPr>
                <w:color w:val="000000"/>
                <w:sz w:val="20"/>
                <w:szCs w:val="20"/>
              </w:rPr>
            </w:pPr>
          </w:p>
        </w:tc>
        <w:tc>
          <w:tcPr>
            <w:tcW w:w="1147" w:type="dxa"/>
            <w:vAlign w:val="bottom"/>
          </w:tcPr>
          <w:p w:rsidR="009B5E65" w:rsidRPr="00FA5745" w:rsidRDefault="009B5E65" w:rsidP="00086A1F">
            <w:pPr>
              <w:rPr>
                <w:color w:val="000000"/>
                <w:sz w:val="20"/>
                <w:szCs w:val="20"/>
              </w:rPr>
            </w:pPr>
          </w:p>
        </w:tc>
        <w:tc>
          <w:tcPr>
            <w:tcW w:w="1148" w:type="dxa"/>
            <w:vAlign w:val="bottom"/>
          </w:tcPr>
          <w:p w:rsidR="009B5E65" w:rsidRPr="00FA5745" w:rsidRDefault="009B5E65" w:rsidP="00086A1F">
            <w:pPr>
              <w:rPr>
                <w:color w:val="000000"/>
                <w:sz w:val="20"/>
                <w:szCs w:val="20"/>
              </w:rPr>
            </w:pPr>
          </w:p>
        </w:tc>
      </w:tr>
      <w:tr w:rsidR="009B5E65" w:rsidRPr="00FA5745" w:rsidTr="00086A1F">
        <w:tc>
          <w:tcPr>
            <w:tcW w:w="3528" w:type="dxa"/>
            <w:gridSpan w:val="2"/>
            <w:vAlign w:val="bottom"/>
          </w:tcPr>
          <w:p w:rsidR="009B5E65" w:rsidRPr="00FA5745" w:rsidRDefault="009B5E65" w:rsidP="00086A1F">
            <w:pPr>
              <w:rPr>
                <w:color w:val="000000"/>
                <w:sz w:val="20"/>
                <w:szCs w:val="20"/>
              </w:rPr>
            </w:pPr>
            <w:r>
              <w:rPr>
                <w:color w:val="000000"/>
                <w:sz w:val="20"/>
                <w:szCs w:val="20"/>
              </w:rPr>
              <w:t>Foreign direct investment in</w:t>
            </w:r>
            <w:r w:rsidRPr="00FA5745">
              <w:rPr>
                <w:color w:val="000000"/>
                <w:sz w:val="20"/>
                <w:szCs w:val="20"/>
              </w:rPr>
              <w:t>flows</w:t>
            </w:r>
          </w:p>
        </w:tc>
        <w:tc>
          <w:tcPr>
            <w:tcW w:w="1147" w:type="dxa"/>
            <w:vAlign w:val="bottom"/>
          </w:tcPr>
          <w:p w:rsidR="009B5E65" w:rsidRPr="00FA5745" w:rsidRDefault="009B5E65" w:rsidP="00086A1F">
            <w:pPr>
              <w:jc w:val="right"/>
              <w:rPr>
                <w:color w:val="000000"/>
                <w:sz w:val="20"/>
                <w:szCs w:val="20"/>
              </w:rPr>
            </w:pPr>
            <w:r>
              <w:rPr>
                <w:color w:val="000000"/>
                <w:sz w:val="20"/>
                <w:szCs w:val="20"/>
              </w:rPr>
              <w:t>-</w:t>
            </w:r>
          </w:p>
        </w:tc>
        <w:tc>
          <w:tcPr>
            <w:tcW w:w="1148" w:type="dxa"/>
            <w:vAlign w:val="bottom"/>
          </w:tcPr>
          <w:p w:rsidR="009B5E65" w:rsidRPr="00FA5745" w:rsidRDefault="009B5E65" w:rsidP="00086A1F">
            <w:pPr>
              <w:jc w:val="right"/>
              <w:rPr>
                <w:color w:val="000000"/>
                <w:sz w:val="20"/>
                <w:szCs w:val="20"/>
              </w:rPr>
            </w:pPr>
            <w:r>
              <w:rPr>
                <w:color w:val="000000"/>
                <w:sz w:val="20"/>
                <w:szCs w:val="20"/>
              </w:rPr>
              <w:t>-</w:t>
            </w:r>
          </w:p>
        </w:tc>
        <w:tc>
          <w:tcPr>
            <w:tcW w:w="1147" w:type="dxa"/>
            <w:vAlign w:val="bottom"/>
          </w:tcPr>
          <w:p w:rsidR="009B5E65" w:rsidRPr="00FA5745" w:rsidRDefault="009B5E65" w:rsidP="00086A1F">
            <w:pPr>
              <w:jc w:val="right"/>
              <w:rPr>
                <w:color w:val="000000"/>
                <w:sz w:val="20"/>
                <w:szCs w:val="20"/>
              </w:rPr>
            </w:pPr>
            <w:r w:rsidRPr="00FA5745">
              <w:rPr>
                <w:color w:val="000000"/>
                <w:sz w:val="20"/>
                <w:szCs w:val="20"/>
              </w:rPr>
              <w:t>-15.0</w:t>
            </w:r>
          </w:p>
        </w:tc>
        <w:tc>
          <w:tcPr>
            <w:tcW w:w="1148" w:type="dxa"/>
            <w:vAlign w:val="bottom"/>
          </w:tcPr>
          <w:p w:rsidR="009B5E65" w:rsidRPr="00FA5745" w:rsidRDefault="009B5E65" w:rsidP="00086A1F">
            <w:pPr>
              <w:jc w:val="right"/>
              <w:rPr>
                <w:color w:val="000000"/>
                <w:sz w:val="20"/>
                <w:szCs w:val="20"/>
              </w:rPr>
            </w:pPr>
            <w:r w:rsidRPr="00FA5745">
              <w:rPr>
                <w:color w:val="000000"/>
                <w:sz w:val="20"/>
                <w:szCs w:val="20"/>
              </w:rPr>
              <w:t>-9.0</w:t>
            </w:r>
          </w:p>
        </w:tc>
      </w:tr>
      <w:tr w:rsidR="009B5E65" w:rsidRPr="00FA5745" w:rsidTr="00086A1F">
        <w:trPr>
          <w:trHeight w:hRule="exact" w:val="115"/>
        </w:trPr>
        <w:tc>
          <w:tcPr>
            <w:tcW w:w="1638" w:type="dxa"/>
            <w:vAlign w:val="bottom"/>
          </w:tcPr>
          <w:p w:rsidR="009B5E65" w:rsidRPr="00FA5745" w:rsidRDefault="009B5E65" w:rsidP="00086A1F">
            <w:pPr>
              <w:rPr>
                <w:color w:val="000000"/>
                <w:sz w:val="20"/>
                <w:szCs w:val="20"/>
              </w:rPr>
            </w:pPr>
          </w:p>
        </w:tc>
        <w:tc>
          <w:tcPr>
            <w:tcW w:w="1890" w:type="dxa"/>
            <w:vAlign w:val="bottom"/>
          </w:tcPr>
          <w:p w:rsidR="009B5E65" w:rsidRPr="00FA5745" w:rsidRDefault="009B5E65" w:rsidP="00086A1F">
            <w:pPr>
              <w:rPr>
                <w:color w:val="000000"/>
                <w:sz w:val="20"/>
                <w:szCs w:val="20"/>
              </w:rPr>
            </w:pPr>
          </w:p>
        </w:tc>
        <w:tc>
          <w:tcPr>
            <w:tcW w:w="1147" w:type="dxa"/>
            <w:vAlign w:val="bottom"/>
          </w:tcPr>
          <w:p w:rsidR="009B5E65" w:rsidRPr="00FA5745" w:rsidRDefault="009B5E65" w:rsidP="00086A1F">
            <w:pPr>
              <w:rPr>
                <w:color w:val="000000"/>
                <w:sz w:val="20"/>
                <w:szCs w:val="20"/>
              </w:rPr>
            </w:pPr>
          </w:p>
        </w:tc>
        <w:tc>
          <w:tcPr>
            <w:tcW w:w="1148" w:type="dxa"/>
            <w:vAlign w:val="bottom"/>
          </w:tcPr>
          <w:p w:rsidR="009B5E65" w:rsidRPr="00FA5745" w:rsidRDefault="009B5E65" w:rsidP="00086A1F">
            <w:pPr>
              <w:rPr>
                <w:color w:val="000000"/>
                <w:sz w:val="20"/>
                <w:szCs w:val="20"/>
              </w:rPr>
            </w:pPr>
          </w:p>
        </w:tc>
        <w:tc>
          <w:tcPr>
            <w:tcW w:w="1147" w:type="dxa"/>
            <w:vAlign w:val="bottom"/>
          </w:tcPr>
          <w:p w:rsidR="009B5E65" w:rsidRPr="00FA5745" w:rsidRDefault="009B5E65" w:rsidP="00086A1F">
            <w:pPr>
              <w:rPr>
                <w:color w:val="000000"/>
                <w:sz w:val="20"/>
                <w:szCs w:val="20"/>
              </w:rPr>
            </w:pPr>
          </w:p>
        </w:tc>
        <w:tc>
          <w:tcPr>
            <w:tcW w:w="1148" w:type="dxa"/>
            <w:vAlign w:val="bottom"/>
          </w:tcPr>
          <w:p w:rsidR="009B5E65" w:rsidRPr="00FA5745" w:rsidRDefault="009B5E65" w:rsidP="00086A1F">
            <w:pPr>
              <w:rPr>
                <w:color w:val="000000"/>
                <w:sz w:val="20"/>
                <w:szCs w:val="20"/>
              </w:rPr>
            </w:pPr>
          </w:p>
        </w:tc>
      </w:tr>
      <w:tr w:rsidR="009B5E65" w:rsidRPr="00FA5745" w:rsidTr="00086A1F">
        <w:tc>
          <w:tcPr>
            <w:tcW w:w="3528" w:type="dxa"/>
            <w:gridSpan w:val="2"/>
            <w:vAlign w:val="bottom"/>
          </w:tcPr>
          <w:p w:rsidR="009B5E65" w:rsidRPr="00FA5745" w:rsidRDefault="009B5E65" w:rsidP="00086A1F">
            <w:pPr>
              <w:rPr>
                <w:color w:val="000000"/>
                <w:sz w:val="20"/>
                <w:szCs w:val="20"/>
              </w:rPr>
            </w:pPr>
            <w:r w:rsidRPr="00FA5745">
              <w:rPr>
                <w:color w:val="000000"/>
                <w:sz w:val="20"/>
                <w:szCs w:val="20"/>
              </w:rPr>
              <w:t>Foreign transfers</w:t>
            </w:r>
            <w:r>
              <w:rPr>
                <w:color w:val="000000"/>
                <w:sz w:val="20"/>
                <w:szCs w:val="20"/>
              </w:rPr>
              <w:t xml:space="preserve"> to households</w:t>
            </w:r>
          </w:p>
        </w:tc>
        <w:tc>
          <w:tcPr>
            <w:tcW w:w="1147" w:type="dxa"/>
            <w:vAlign w:val="bottom"/>
          </w:tcPr>
          <w:p w:rsidR="009B5E65" w:rsidRPr="00FA5745" w:rsidRDefault="009B5E65" w:rsidP="00086A1F">
            <w:pPr>
              <w:jc w:val="right"/>
              <w:rPr>
                <w:color w:val="000000"/>
                <w:sz w:val="20"/>
                <w:szCs w:val="20"/>
              </w:rPr>
            </w:pPr>
            <w:r>
              <w:rPr>
                <w:color w:val="000000"/>
                <w:sz w:val="20"/>
                <w:szCs w:val="20"/>
              </w:rPr>
              <w:t>-</w:t>
            </w:r>
          </w:p>
        </w:tc>
        <w:tc>
          <w:tcPr>
            <w:tcW w:w="1148" w:type="dxa"/>
            <w:vAlign w:val="bottom"/>
          </w:tcPr>
          <w:p w:rsidR="009B5E65" w:rsidRPr="00FA5745" w:rsidRDefault="009B5E65" w:rsidP="00086A1F">
            <w:pPr>
              <w:jc w:val="right"/>
              <w:rPr>
                <w:color w:val="000000"/>
                <w:sz w:val="20"/>
                <w:szCs w:val="20"/>
              </w:rPr>
            </w:pPr>
            <w:r>
              <w:rPr>
                <w:color w:val="000000"/>
                <w:sz w:val="20"/>
                <w:szCs w:val="20"/>
              </w:rPr>
              <w:t>-</w:t>
            </w:r>
          </w:p>
        </w:tc>
        <w:tc>
          <w:tcPr>
            <w:tcW w:w="1147" w:type="dxa"/>
            <w:vAlign w:val="bottom"/>
          </w:tcPr>
          <w:p w:rsidR="009B5E65" w:rsidRPr="00FA5745" w:rsidRDefault="009B5E65" w:rsidP="00086A1F">
            <w:pPr>
              <w:jc w:val="right"/>
              <w:rPr>
                <w:color w:val="000000"/>
                <w:sz w:val="20"/>
                <w:szCs w:val="20"/>
              </w:rPr>
            </w:pPr>
            <w:r w:rsidRPr="00FA5745">
              <w:rPr>
                <w:color w:val="000000"/>
                <w:sz w:val="20"/>
                <w:szCs w:val="20"/>
              </w:rPr>
              <w:t>-5.0</w:t>
            </w:r>
          </w:p>
        </w:tc>
        <w:tc>
          <w:tcPr>
            <w:tcW w:w="1148" w:type="dxa"/>
            <w:vAlign w:val="bottom"/>
          </w:tcPr>
          <w:p w:rsidR="009B5E65" w:rsidRPr="00FA5745" w:rsidRDefault="009B5E65" w:rsidP="00086A1F">
            <w:pPr>
              <w:jc w:val="right"/>
              <w:rPr>
                <w:color w:val="000000"/>
                <w:sz w:val="20"/>
                <w:szCs w:val="20"/>
              </w:rPr>
            </w:pPr>
            <w:r w:rsidRPr="00FA5745">
              <w:rPr>
                <w:color w:val="000000"/>
                <w:sz w:val="20"/>
                <w:szCs w:val="20"/>
              </w:rPr>
              <w:t>-5.0</w:t>
            </w:r>
          </w:p>
        </w:tc>
      </w:tr>
      <w:tr w:rsidR="009B5E65" w:rsidRPr="00FA5745" w:rsidTr="00086A1F">
        <w:trPr>
          <w:trHeight w:hRule="exact" w:val="115"/>
        </w:trPr>
        <w:tc>
          <w:tcPr>
            <w:tcW w:w="1638" w:type="dxa"/>
            <w:vAlign w:val="bottom"/>
          </w:tcPr>
          <w:p w:rsidR="009B5E65" w:rsidRPr="00FA5745" w:rsidRDefault="009B5E65" w:rsidP="00086A1F">
            <w:pPr>
              <w:rPr>
                <w:color w:val="000000"/>
                <w:sz w:val="20"/>
                <w:szCs w:val="20"/>
              </w:rPr>
            </w:pPr>
          </w:p>
        </w:tc>
        <w:tc>
          <w:tcPr>
            <w:tcW w:w="1890" w:type="dxa"/>
            <w:vAlign w:val="bottom"/>
          </w:tcPr>
          <w:p w:rsidR="009B5E65" w:rsidRPr="00FA5745" w:rsidRDefault="009B5E65" w:rsidP="00086A1F">
            <w:pPr>
              <w:rPr>
                <w:color w:val="000000"/>
                <w:sz w:val="20"/>
                <w:szCs w:val="20"/>
              </w:rPr>
            </w:pPr>
          </w:p>
        </w:tc>
        <w:tc>
          <w:tcPr>
            <w:tcW w:w="1147" w:type="dxa"/>
            <w:vAlign w:val="bottom"/>
          </w:tcPr>
          <w:p w:rsidR="009B5E65" w:rsidRPr="00FA5745" w:rsidRDefault="009B5E65" w:rsidP="00086A1F">
            <w:pPr>
              <w:rPr>
                <w:color w:val="000000"/>
                <w:sz w:val="20"/>
                <w:szCs w:val="20"/>
              </w:rPr>
            </w:pPr>
          </w:p>
        </w:tc>
        <w:tc>
          <w:tcPr>
            <w:tcW w:w="1148" w:type="dxa"/>
            <w:vAlign w:val="bottom"/>
          </w:tcPr>
          <w:p w:rsidR="009B5E65" w:rsidRPr="00FA5745" w:rsidRDefault="009B5E65" w:rsidP="00086A1F">
            <w:pPr>
              <w:rPr>
                <w:color w:val="000000"/>
                <w:sz w:val="20"/>
                <w:szCs w:val="20"/>
              </w:rPr>
            </w:pPr>
          </w:p>
        </w:tc>
        <w:tc>
          <w:tcPr>
            <w:tcW w:w="1147" w:type="dxa"/>
            <w:vAlign w:val="bottom"/>
          </w:tcPr>
          <w:p w:rsidR="009B5E65" w:rsidRPr="00FA5745" w:rsidRDefault="009B5E65" w:rsidP="00086A1F">
            <w:pPr>
              <w:rPr>
                <w:color w:val="000000"/>
                <w:sz w:val="20"/>
                <w:szCs w:val="20"/>
              </w:rPr>
            </w:pPr>
          </w:p>
        </w:tc>
        <w:tc>
          <w:tcPr>
            <w:tcW w:w="1148" w:type="dxa"/>
            <w:vAlign w:val="bottom"/>
          </w:tcPr>
          <w:p w:rsidR="009B5E65" w:rsidRPr="00FA5745" w:rsidRDefault="009B5E65" w:rsidP="00086A1F">
            <w:pPr>
              <w:rPr>
                <w:color w:val="000000"/>
                <w:sz w:val="20"/>
                <w:szCs w:val="20"/>
              </w:rPr>
            </w:pPr>
          </w:p>
        </w:tc>
      </w:tr>
      <w:tr w:rsidR="009B5E65" w:rsidRPr="00FA5745" w:rsidTr="00086A1F">
        <w:tc>
          <w:tcPr>
            <w:tcW w:w="1638" w:type="dxa"/>
            <w:vAlign w:val="bottom"/>
          </w:tcPr>
          <w:p w:rsidR="009B5E65" w:rsidRPr="00FA5745" w:rsidRDefault="009B5E65" w:rsidP="00086A1F">
            <w:pPr>
              <w:rPr>
                <w:color w:val="000000"/>
                <w:sz w:val="20"/>
                <w:szCs w:val="20"/>
              </w:rPr>
            </w:pPr>
            <w:r w:rsidRPr="00FA5745">
              <w:rPr>
                <w:color w:val="000000"/>
                <w:sz w:val="20"/>
                <w:szCs w:val="20"/>
              </w:rPr>
              <w:t>Stimulus package</w:t>
            </w:r>
          </w:p>
        </w:tc>
        <w:tc>
          <w:tcPr>
            <w:tcW w:w="1890" w:type="dxa"/>
            <w:vAlign w:val="bottom"/>
          </w:tcPr>
          <w:p w:rsidR="009B5E65" w:rsidRDefault="009B5E65" w:rsidP="00086A1F">
            <w:pPr>
              <w:rPr>
                <w:rFonts w:ascii="Calibri" w:hAnsi="Calibri"/>
                <w:color w:val="000000"/>
                <w:sz w:val="20"/>
                <w:szCs w:val="20"/>
              </w:rPr>
            </w:pPr>
            <w:r>
              <w:rPr>
                <w:rFonts w:ascii="Calibri" w:hAnsi="Calibri"/>
                <w:color w:val="000000"/>
                <w:sz w:val="20"/>
                <w:szCs w:val="20"/>
              </w:rPr>
              <w:t>Capital inflows</w:t>
            </w:r>
          </w:p>
        </w:tc>
        <w:tc>
          <w:tcPr>
            <w:tcW w:w="1147" w:type="dxa"/>
            <w:vAlign w:val="bottom"/>
          </w:tcPr>
          <w:p w:rsidR="009B5E65" w:rsidRPr="00FA5745" w:rsidRDefault="009B5E65" w:rsidP="00086A1F">
            <w:pPr>
              <w:jc w:val="right"/>
              <w:rPr>
                <w:color w:val="000000"/>
                <w:sz w:val="20"/>
                <w:szCs w:val="20"/>
              </w:rPr>
            </w:pPr>
            <w:r>
              <w:rPr>
                <w:color w:val="000000"/>
                <w:sz w:val="20"/>
                <w:szCs w:val="20"/>
              </w:rPr>
              <w:t>-</w:t>
            </w:r>
          </w:p>
        </w:tc>
        <w:tc>
          <w:tcPr>
            <w:tcW w:w="1148" w:type="dxa"/>
            <w:vAlign w:val="bottom"/>
          </w:tcPr>
          <w:p w:rsidR="009B5E65" w:rsidRPr="00FA5745" w:rsidRDefault="009B5E65" w:rsidP="00086A1F">
            <w:pPr>
              <w:jc w:val="right"/>
              <w:rPr>
                <w:color w:val="000000"/>
                <w:sz w:val="20"/>
                <w:szCs w:val="20"/>
              </w:rPr>
            </w:pPr>
            <w:r>
              <w:rPr>
                <w:color w:val="000000"/>
                <w:sz w:val="20"/>
                <w:szCs w:val="20"/>
              </w:rPr>
              <w:t>-</w:t>
            </w:r>
          </w:p>
        </w:tc>
        <w:tc>
          <w:tcPr>
            <w:tcW w:w="1147" w:type="dxa"/>
            <w:vAlign w:val="bottom"/>
          </w:tcPr>
          <w:p w:rsidR="009B5E65" w:rsidRDefault="002820FC" w:rsidP="00086A1F">
            <w:pPr>
              <w:jc w:val="right"/>
              <w:rPr>
                <w:rFonts w:ascii="Calibri" w:hAnsi="Calibri"/>
                <w:color w:val="000000"/>
                <w:sz w:val="20"/>
                <w:szCs w:val="20"/>
              </w:rPr>
            </w:pPr>
            <w:r>
              <w:rPr>
                <w:rFonts w:ascii="Calibri" w:hAnsi="Calibri"/>
                <w:color w:val="000000"/>
                <w:sz w:val="20"/>
                <w:szCs w:val="20"/>
              </w:rPr>
              <w:t>15</w:t>
            </w:r>
            <w:r w:rsidR="009B5E65">
              <w:rPr>
                <w:rFonts w:ascii="Calibri" w:hAnsi="Calibri"/>
                <w:color w:val="000000"/>
                <w:sz w:val="20"/>
                <w:szCs w:val="20"/>
              </w:rPr>
              <w:t>.0</w:t>
            </w:r>
          </w:p>
        </w:tc>
        <w:tc>
          <w:tcPr>
            <w:tcW w:w="1148" w:type="dxa"/>
            <w:vAlign w:val="bottom"/>
          </w:tcPr>
          <w:p w:rsidR="009B5E65" w:rsidRDefault="002820FC" w:rsidP="00086A1F">
            <w:pPr>
              <w:jc w:val="right"/>
              <w:rPr>
                <w:rFonts w:ascii="Calibri" w:hAnsi="Calibri"/>
                <w:color w:val="000000"/>
                <w:sz w:val="20"/>
                <w:szCs w:val="20"/>
              </w:rPr>
            </w:pPr>
            <w:r>
              <w:rPr>
                <w:rFonts w:ascii="Calibri" w:hAnsi="Calibri"/>
                <w:color w:val="000000"/>
                <w:sz w:val="20"/>
                <w:szCs w:val="20"/>
              </w:rPr>
              <w:t>15</w:t>
            </w:r>
            <w:r w:rsidR="009B5E65">
              <w:rPr>
                <w:rFonts w:ascii="Calibri" w:hAnsi="Calibri"/>
                <w:color w:val="000000"/>
                <w:sz w:val="20"/>
                <w:szCs w:val="20"/>
              </w:rPr>
              <w:t>.0</w:t>
            </w:r>
          </w:p>
        </w:tc>
      </w:tr>
      <w:tr w:rsidR="009B5E65" w:rsidRPr="00FA5745" w:rsidTr="00086A1F">
        <w:tc>
          <w:tcPr>
            <w:tcW w:w="1638" w:type="dxa"/>
            <w:vAlign w:val="bottom"/>
          </w:tcPr>
          <w:p w:rsidR="009B5E65" w:rsidRPr="00FA5745" w:rsidRDefault="009B5E65" w:rsidP="00086A1F">
            <w:pPr>
              <w:rPr>
                <w:color w:val="000000"/>
                <w:sz w:val="20"/>
                <w:szCs w:val="20"/>
              </w:rPr>
            </w:pPr>
          </w:p>
        </w:tc>
        <w:tc>
          <w:tcPr>
            <w:tcW w:w="1890" w:type="dxa"/>
            <w:vAlign w:val="bottom"/>
          </w:tcPr>
          <w:p w:rsidR="009B5E65" w:rsidRDefault="009B5E65" w:rsidP="00086A1F">
            <w:pPr>
              <w:rPr>
                <w:rFonts w:ascii="Calibri" w:hAnsi="Calibri"/>
                <w:color w:val="000000"/>
                <w:sz w:val="20"/>
                <w:szCs w:val="20"/>
              </w:rPr>
            </w:pPr>
            <w:r>
              <w:rPr>
                <w:rFonts w:ascii="Calibri" w:hAnsi="Calibri"/>
                <w:color w:val="000000"/>
                <w:sz w:val="20"/>
                <w:szCs w:val="20"/>
              </w:rPr>
              <w:t>Recurrent spending</w:t>
            </w:r>
          </w:p>
        </w:tc>
        <w:tc>
          <w:tcPr>
            <w:tcW w:w="1147" w:type="dxa"/>
            <w:vAlign w:val="bottom"/>
          </w:tcPr>
          <w:p w:rsidR="009B5E65" w:rsidRPr="00FA5745" w:rsidRDefault="009B5E65" w:rsidP="00086A1F">
            <w:pPr>
              <w:jc w:val="right"/>
              <w:rPr>
                <w:color w:val="000000"/>
                <w:sz w:val="20"/>
                <w:szCs w:val="20"/>
              </w:rPr>
            </w:pPr>
            <w:r>
              <w:rPr>
                <w:color w:val="000000"/>
                <w:sz w:val="20"/>
                <w:szCs w:val="20"/>
              </w:rPr>
              <w:t>-</w:t>
            </w:r>
          </w:p>
        </w:tc>
        <w:tc>
          <w:tcPr>
            <w:tcW w:w="1148" w:type="dxa"/>
            <w:vAlign w:val="bottom"/>
          </w:tcPr>
          <w:p w:rsidR="009B5E65" w:rsidRPr="00FA5745" w:rsidRDefault="009B5E65" w:rsidP="00086A1F">
            <w:pPr>
              <w:jc w:val="right"/>
              <w:rPr>
                <w:color w:val="000000"/>
                <w:sz w:val="20"/>
                <w:szCs w:val="20"/>
              </w:rPr>
            </w:pPr>
            <w:r>
              <w:rPr>
                <w:color w:val="000000"/>
                <w:sz w:val="20"/>
                <w:szCs w:val="20"/>
              </w:rPr>
              <w:t>-</w:t>
            </w:r>
          </w:p>
        </w:tc>
        <w:tc>
          <w:tcPr>
            <w:tcW w:w="1147" w:type="dxa"/>
            <w:vAlign w:val="bottom"/>
          </w:tcPr>
          <w:p w:rsidR="009B5E65" w:rsidRDefault="0091462A" w:rsidP="002820FC">
            <w:pPr>
              <w:jc w:val="right"/>
              <w:rPr>
                <w:rFonts w:ascii="Calibri" w:hAnsi="Calibri"/>
                <w:color w:val="000000"/>
                <w:sz w:val="20"/>
                <w:szCs w:val="20"/>
              </w:rPr>
            </w:pPr>
            <w:r>
              <w:rPr>
                <w:rFonts w:ascii="Calibri" w:hAnsi="Calibri"/>
                <w:color w:val="000000"/>
                <w:sz w:val="20"/>
                <w:szCs w:val="20"/>
              </w:rPr>
              <w:t>3.0</w:t>
            </w:r>
          </w:p>
        </w:tc>
        <w:tc>
          <w:tcPr>
            <w:tcW w:w="1148" w:type="dxa"/>
            <w:vAlign w:val="bottom"/>
          </w:tcPr>
          <w:p w:rsidR="009B5E65" w:rsidRDefault="0091462A" w:rsidP="0091462A">
            <w:pPr>
              <w:jc w:val="right"/>
              <w:rPr>
                <w:rFonts w:ascii="Calibri" w:hAnsi="Calibri"/>
                <w:color w:val="000000"/>
                <w:sz w:val="20"/>
                <w:szCs w:val="20"/>
              </w:rPr>
            </w:pPr>
            <w:r>
              <w:rPr>
                <w:rFonts w:ascii="Calibri" w:hAnsi="Calibri"/>
                <w:color w:val="000000"/>
                <w:sz w:val="20"/>
                <w:szCs w:val="20"/>
              </w:rPr>
              <w:t>3.0</w:t>
            </w:r>
          </w:p>
        </w:tc>
      </w:tr>
      <w:tr w:rsidR="009B5E65" w:rsidRPr="00FA5745" w:rsidTr="00086A1F">
        <w:tc>
          <w:tcPr>
            <w:tcW w:w="1638" w:type="dxa"/>
            <w:vAlign w:val="bottom"/>
          </w:tcPr>
          <w:p w:rsidR="009B5E65" w:rsidRPr="00FA5745" w:rsidRDefault="009B5E65" w:rsidP="00086A1F">
            <w:pPr>
              <w:rPr>
                <w:color w:val="000000"/>
                <w:sz w:val="20"/>
                <w:szCs w:val="20"/>
              </w:rPr>
            </w:pPr>
          </w:p>
        </w:tc>
        <w:tc>
          <w:tcPr>
            <w:tcW w:w="1890" w:type="dxa"/>
            <w:vAlign w:val="bottom"/>
          </w:tcPr>
          <w:p w:rsidR="009B5E65" w:rsidRDefault="009B5E65" w:rsidP="00086A1F">
            <w:pPr>
              <w:rPr>
                <w:rFonts w:ascii="Calibri" w:hAnsi="Calibri"/>
                <w:color w:val="000000"/>
                <w:sz w:val="20"/>
                <w:szCs w:val="20"/>
              </w:rPr>
            </w:pPr>
            <w:r>
              <w:rPr>
                <w:rFonts w:ascii="Calibri" w:hAnsi="Calibri"/>
                <w:color w:val="000000"/>
                <w:sz w:val="20"/>
                <w:szCs w:val="20"/>
              </w:rPr>
              <w:t>Land productivity</w:t>
            </w:r>
          </w:p>
        </w:tc>
        <w:tc>
          <w:tcPr>
            <w:tcW w:w="1147" w:type="dxa"/>
            <w:vAlign w:val="bottom"/>
          </w:tcPr>
          <w:p w:rsidR="009B5E65" w:rsidRPr="00FA5745" w:rsidRDefault="009B5E65" w:rsidP="00086A1F">
            <w:pPr>
              <w:jc w:val="right"/>
              <w:rPr>
                <w:color w:val="000000"/>
                <w:sz w:val="20"/>
                <w:szCs w:val="20"/>
              </w:rPr>
            </w:pPr>
            <w:r>
              <w:rPr>
                <w:color w:val="000000"/>
                <w:sz w:val="20"/>
                <w:szCs w:val="20"/>
              </w:rPr>
              <w:t>-</w:t>
            </w:r>
          </w:p>
        </w:tc>
        <w:tc>
          <w:tcPr>
            <w:tcW w:w="1148" w:type="dxa"/>
            <w:vAlign w:val="bottom"/>
          </w:tcPr>
          <w:p w:rsidR="009B5E65" w:rsidRPr="00FA5745" w:rsidRDefault="009B5E65" w:rsidP="00086A1F">
            <w:pPr>
              <w:jc w:val="right"/>
              <w:rPr>
                <w:color w:val="000000"/>
                <w:sz w:val="20"/>
                <w:szCs w:val="20"/>
              </w:rPr>
            </w:pPr>
            <w:r>
              <w:rPr>
                <w:color w:val="000000"/>
                <w:sz w:val="20"/>
                <w:szCs w:val="20"/>
              </w:rPr>
              <w:t>-</w:t>
            </w:r>
          </w:p>
        </w:tc>
        <w:tc>
          <w:tcPr>
            <w:tcW w:w="1147" w:type="dxa"/>
            <w:vAlign w:val="bottom"/>
          </w:tcPr>
          <w:p w:rsidR="009B5E65" w:rsidRDefault="000E06CF" w:rsidP="00086A1F">
            <w:pPr>
              <w:jc w:val="right"/>
              <w:rPr>
                <w:rFonts w:ascii="Calibri" w:hAnsi="Calibri"/>
                <w:color w:val="000000"/>
                <w:sz w:val="20"/>
                <w:szCs w:val="20"/>
              </w:rPr>
            </w:pPr>
            <w:r>
              <w:rPr>
                <w:rFonts w:ascii="Calibri" w:hAnsi="Calibri"/>
                <w:color w:val="000000"/>
                <w:sz w:val="20"/>
                <w:szCs w:val="20"/>
              </w:rPr>
              <w:t>3</w:t>
            </w:r>
            <w:r w:rsidR="009B5E65">
              <w:rPr>
                <w:rFonts w:ascii="Calibri" w:hAnsi="Calibri"/>
                <w:color w:val="000000"/>
                <w:sz w:val="20"/>
                <w:szCs w:val="20"/>
              </w:rPr>
              <w:t>.0</w:t>
            </w:r>
          </w:p>
        </w:tc>
        <w:tc>
          <w:tcPr>
            <w:tcW w:w="1148" w:type="dxa"/>
            <w:vAlign w:val="bottom"/>
          </w:tcPr>
          <w:p w:rsidR="009B5E65" w:rsidRDefault="000E06CF" w:rsidP="00086A1F">
            <w:pPr>
              <w:jc w:val="right"/>
              <w:rPr>
                <w:rFonts w:ascii="Calibri" w:hAnsi="Calibri"/>
                <w:color w:val="000000"/>
                <w:sz w:val="20"/>
                <w:szCs w:val="20"/>
              </w:rPr>
            </w:pPr>
            <w:r>
              <w:rPr>
                <w:rFonts w:ascii="Calibri" w:hAnsi="Calibri"/>
                <w:color w:val="000000"/>
                <w:sz w:val="20"/>
                <w:szCs w:val="20"/>
              </w:rPr>
              <w:t>3</w:t>
            </w:r>
            <w:r w:rsidR="009B5E65">
              <w:rPr>
                <w:rFonts w:ascii="Calibri" w:hAnsi="Calibri"/>
                <w:color w:val="000000"/>
                <w:sz w:val="20"/>
                <w:szCs w:val="20"/>
              </w:rPr>
              <w:t>.0</w:t>
            </w:r>
          </w:p>
        </w:tc>
      </w:tr>
      <w:tr w:rsidR="009B5E65" w:rsidRPr="00FA5745" w:rsidTr="00086A1F">
        <w:tc>
          <w:tcPr>
            <w:tcW w:w="1638" w:type="dxa"/>
            <w:vAlign w:val="bottom"/>
          </w:tcPr>
          <w:p w:rsidR="009B5E65" w:rsidRPr="00FA5745" w:rsidRDefault="009B5E65" w:rsidP="00086A1F">
            <w:pPr>
              <w:rPr>
                <w:color w:val="000000"/>
                <w:sz w:val="20"/>
                <w:szCs w:val="20"/>
              </w:rPr>
            </w:pPr>
          </w:p>
        </w:tc>
        <w:tc>
          <w:tcPr>
            <w:tcW w:w="1890" w:type="dxa"/>
            <w:vAlign w:val="bottom"/>
          </w:tcPr>
          <w:p w:rsidR="009B5E65" w:rsidRDefault="009B5E65" w:rsidP="00086A1F">
            <w:pPr>
              <w:rPr>
                <w:rFonts w:ascii="Calibri" w:hAnsi="Calibri"/>
                <w:color w:val="000000"/>
                <w:sz w:val="20"/>
                <w:szCs w:val="20"/>
              </w:rPr>
            </w:pPr>
            <w:r>
              <w:rPr>
                <w:rFonts w:ascii="Calibri" w:hAnsi="Calibri"/>
                <w:color w:val="000000"/>
                <w:sz w:val="20"/>
                <w:szCs w:val="20"/>
              </w:rPr>
              <w:t>Social transfers</w:t>
            </w:r>
          </w:p>
        </w:tc>
        <w:tc>
          <w:tcPr>
            <w:tcW w:w="1147" w:type="dxa"/>
            <w:vAlign w:val="bottom"/>
          </w:tcPr>
          <w:p w:rsidR="009B5E65" w:rsidRPr="00FA5745" w:rsidRDefault="009B5E65" w:rsidP="00086A1F">
            <w:pPr>
              <w:jc w:val="right"/>
              <w:rPr>
                <w:color w:val="000000"/>
                <w:sz w:val="20"/>
                <w:szCs w:val="20"/>
              </w:rPr>
            </w:pPr>
            <w:r>
              <w:rPr>
                <w:color w:val="000000"/>
                <w:sz w:val="20"/>
                <w:szCs w:val="20"/>
              </w:rPr>
              <w:t>-</w:t>
            </w:r>
          </w:p>
        </w:tc>
        <w:tc>
          <w:tcPr>
            <w:tcW w:w="1148" w:type="dxa"/>
            <w:vAlign w:val="bottom"/>
          </w:tcPr>
          <w:p w:rsidR="009B5E65" w:rsidRPr="00FA5745" w:rsidRDefault="009B5E65" w:rsidP="00086A1F">
            <w:pPr>
              <w:jc w:val="right"/>
              <w:rPr>
                <w:color w:val="000000"/>
                <w:sz w:val="20"/>
                <w:szCs w:val="20"/>
              </w:rPr>
            </w:pPr>
            <w:r>
              <w:rPr>
                <w:color w:val="000000"/>
                <w:sz w:val="20"/>
                <w:szCs w:val="20"/>
              </w:rPr>
              <w:t>-</w:t>
            </w:r>
          </w:p>
        </w:tc>
        <w:tc>
          <w:tcPr>
            <w:tcW w:w="1147" w:type="dxa"/>
            <w:vAlign w:val="bottom"/>
          </w:tcPr>
          <w:p w:rsidR="009B5E65" w:rsidRDefault="009B5E65" w:rsidP="00086A1F">
            <w:pPr>
              <w:jc w:val="right"/>
              <w:rPr>
                <w:rFonts w:ascii="Calibri" w:hAnsi="Calibri"/>
                <w:color w:val="000000"/>
                <w:sz w:val="20"/>
                <w:szCs w:val="20"/>
              </w:rPr>
            </w:pPr>
            <w:r>
              <w:rPr>
                <w:rFonts w:ascii="Calibri" w:hAnsi="Calibri"/>
                <w:color w:val="000000"/>
                <w:sz w:val="20"/>
                <w:szCs w:val="20"/>
              </w:rPr>
              <w:t>8.0</w:t>
            </w:r>
          </w:p>
        </w:tc>
        <w:tc>
          <w:tcPr>
            <w:tcW w:w="1148" w:type="dxa"/>
            <w:vAlign w:val="bottom"/>
          </w:tcPr>
          <w:p w:rsidR="009B5E65" w:rsidRDefault="009B5E65" w:rsidP="00086A1F">
            <w:pPr>
              <w:jc w:val="right"/>
              <w:rPr>
                <w:rFonts w:ascii="Calibri" w:hAnsi="Calibri"/>
                <w:color w:val="000000"/>
                <w:sz w:val="20"/>
                <w:szCs w:val="20"/>
              </w:rPr>
            </w:pPr>
            <w:r>
              <w:rPr>
                <w:rFonts w:ascii="Calibri" w:hAnsi="Calibri"/>
                <w:color w:val="000000"/>
                <w:sz w:val="20"/>
                <w:szCs w:val="20"/>
              </w:rPr>
              <w:t>8.0</w:t>
            </w:r>
          </w:p>
        </w:tc>
      </w:tr>
      <w:tr w:rsidR="009B5E65" w:rsidRPr="00FA5745" w:rsidTr="00086A1F">
        <w:tc>
          <w:tcPr>
            <w:tcW w:w="1638" w:type="dxa"/>
            <w:vAlign w:val="bottom"/>
          </w:tcPr>
          <w:p w:rsidR="009B5E65" w:rsidRPr="00FA5745" w:rsidRDefault="009B5E65" w:rsidP="00086A1F">
            <w:pPr>
              <w:rPr>
                <w:color w:val="000000"/>
                <w:sz w:val="20"/>
                <w:szCs w:val="20"/>
              </w:rPr>
            </w:pPr>
          </w:p>
        </w:tc>
        <w:tc>
          <w:tcPr>
            <w:tcW w:w="1890" w:type="dxa"/>
            <w:vAlign w:val="bottom"/>
          </w:tcPr>
          <w:p w:rsidR="009B5E65" w:rsidRDefault="009B5E65" w:rsidP="00086A1F">
            <w:pPr>
              <w:rPr>
                <w:rFonts w:ascii="Calibri" w:hAnsi="Calibri"/>
                <w:color w:val="000000"/>
                <w:sz w:val="20"/>
                <w:szCs w:val="20"/>
              </w:rPr>
            </w:pPr>
            <w:r>
              <w:rPr>
                <w:rFonts w:ascii="Calibri" w:hAnsi="Calibri"/>
                <w:color w:val="000000"/>
                <w:sz w:val="20"/>
                <w:szCs w:val="20"/>
              </w:rPr>
              <w:t>Direct tax rates</w:t>
            </w:r>
          </w:p>
        </w:tc>
        <w:tc>
          <w:tcPr>
            <w:tcW w:w="1147" w:type="dxa"/>
            <w:vAlign w:val="bottom"/>
          </w:tcPr>
          <w:p w:rsidR="009B5E65" w:rsidRPr="00FA5745" w:rsidRDefault="009B5E65" w:rsidP="00086A1F">
            <w:pPr>
              <w:jc w:val="right"/>
              <w:rPr>
                <w:color w:val="000000"/>
                <w:sz w:val="20"/>
                <w:szCs w:val="20"/>
              </w:rPr>
            </w:pPr>
            <w:r>
              <w:rPr>
                <w:color w:val="000000"/>
                <w:sz w:val="20"/>
                <w:szCs w:val="20"/>
              </w:rPr>
              <w:t>-</w:t>
            </w:r>
          </w:p>
        </w:tc>
        <w:tc>
          <w:tcPr>
            <w:tcW w:w="1148" w:type="dxa"/>
            <w:vAlign w:val="bottom"/>
          </w:tcPr>
          <w:p w:rsidR="009B5E65" w:rsidRPr="00FA5745" w:rsidRDefault="009B5E65" w:rsidP="00086A1F">
            <w:pPr>
              <w:jc w:val="right"/>
              <w:rPr>
                <w:color w:val="000000"/>
                <w:sz w:val="20"/>
                <w:szCs w:val="20"/>
              </w:rPr>
            </w:pPr>
            <w:r>
              <w:rPr>
                <w:color w:val="000000"/>
                <w:sz w:val="20"/>
                <w:szCs w:val="20"/>
              </w:rPr>
              <w:t>-</w:t>
            </w:r>
          </w:p>
        </w:tc>
        <w:tc>
          <w:tcPr>
            <w:tcW w:w="1147" w:type="dxa"/>
            <w:vAlign w:val="bottom"/>
          </w:tcPr>
          <w:p w:rsidR="009B5E65" w:rsidRDefault="009B5E65" w:rsidP="00086A1F">
            <w:pPr>
              <w:jc w:val="right"/>
              <w:rPr>
                <w:rFonts w:ascii="Calibri" w:hAnsi="Calibri"/>
                <w:color w:val="000000"/>
                <w:sz w:val="20"/>
                <w:szCs w:val="20"/>
              </w:rPr>
            </w:pPr>
            <w:r>
              <w:rPr>
                <w:rFonts w:ascii="Calibri" w:hAnsi="Calibri"/>
                <w:color w:val="000000"/>
                <w:sz w:val="20"/>
                <w:szCs w:val="20"/>
              </w:rPr>
              <w:t>-6.0</w:t>
            </w:r>
          </w:p>
        </w:tc>
        <w:tc>
          <w:tcPr>
            <w:tcW w:w="1148" w:type="dxa"/>
            <w:vAlign w:val="bottom"/>
          </w:tcPr>
          <w:p w:rsidR="009B5E65" w:rsidRDefault="009B5E65" w:rsidP="00086A1F">
            <w:pPr>
              <w:jc w:val="right"/>
              <w:rPr>
                <w:rFonts w:ascii="Calibri" w:hAnsi="Calibri"/>
                <w:color w:val="000000"/>
                <w:sz w:val="20"/>
                <w:szCs w:val="20"/>
              </w:rPr>
            </w:pPr>
            <w:r>
              <w:rPr>
                <w:rFonts w:ascii="Calibri" w:hAnsi="Calibri"/>
                <w:color w:val="000000"/>
                <w:sz w:val="20"/>
                <w:szCs w:val="20"/>
              </w:rPr>
              <w:t>-6.0</w:t>
            </w:r>
          </w:p>
        </w:tc>
      </w:tr>
      <w:tr w:rsidR="009B5E65" w:rsidRPr="00FA5745" w:rsidTr="00086A1F">
        <w:trPr>
          <w:trHeight w:hRule="exact" w:val="115"/>
        </w:trPr>
        <w:tc>
          <w:tcPr>
            <w:tcW w:w="1638" w:type="dxa"/>
            <w:vAlign w:val="bottom"/>
          </w:tcPr>
          <w:p w:rsidR="009B5E65" w:rsidRPr="00FA5745" w:rsidRDefault="009B5E65" w:rsidP="00086A1F">
            <w:pPr>
              <w:rPr>
                <w:color w:val="000000"/>
                <w:sz w:val="20"/>
                <w:szCs w:val="20"/>
              </w:rPr>
            </w:pPr>
          </w:p>
        </w:tc>
        <w:tc>
          <w:tcPr>
            <w:tcW w:w="1890" w:type="dxa"/>
            <w:vAlign w:val="bottom"/>
          </w:tcPr>
          <w:p w:rsidR="009B5E65" w:rsidRPr="00FA5745" w:rsidRDefault="009B5E65" w:rsidP="00086A1F">
            <w:pPr>
              <w:rPr>
                <w:color w:val="000000"/>
                <w:sz w:val="20"/>
                <w:szCs w:val="20"/>
              </w:rPr>
            </w:pPr>
          </w:p>
        </w:tc>
        <w:tc>
          <w:tcPr>
            <w:tcW w:w="1147" w:type="dxa"/>
            <w:vAlign w:val="bottom"/>
          </w:tcPr>
          <w:p w:rsidR="009B5E65" w:rsidRPr="00FA5745" w:rsidRDefault="009B5E65" w:rsidP="00086A1F">
            <w:pPr>
              <w:rPr>
                <w:color w:val="000000"/>
                <w:sz w:val="20"/>
                <w:szCs w:val="20"/>
              </w:rPr>
            </w:pPr>
          </w:p>
        </w:tc>
        <w:tc>
          <w:tcPr>
            <w:tcW w:w="1148" w:type="dxa"/>
            <w:vAlign w:val="bottom"/>
          </w:tcPr>
          <w:p w:rsidR="009B5E65" w:rsidRPr="00FA5745" w:rsidRDefault="009B5E65" w:rsidP="00086A1F">
            <w:pPr>
              <w:rPr>
                <w:color w:val="000000"/>
                <w:sz w:val="20"/>
                <w:szCs w:val="20"/>
              </w:rPr>
            </w:pPr>
          </w:p>
        </w:tc>
        <w:tc>
          <w:tcPr>
            <w:tcW w:w="1147" w:type="dxa"/>
            <w:vAlign w:val="bottom"/>
          </w:tcPr>
          <w:p w:rsidR="009B5E65" w:rsidRPr="00FA5745" w:rsidRDefault="009B5E65" w:rsidP="00086A1F">
            <w:pPr>
              <w:rPr>
                <w:color w:val="000000"/>
                <w:sz w:val="20"/>
                <w:szCs w:val="20"/>
              </w:rPr>
            </w:pPr>
          </w:p>
        </w:tc>
        <w:tc>
          <w:tcPr>
            <w:tcW w:w="1148" w:type="dxa"/>
            <w:vAlign w:val="bottom"/>
          </w:tcPr>
          <w:p w:rsidR="009B5E65" w:rsidRPr="00FA5745" w:rsidRDefault="009B5E65" w:rsidP="00086A1F">
            <w:pPr>
              <w:rPr>
                <w:color w:val="000000"/>
                <w:sz w:val="20"/>
                <w:szCs w:val="20"/>
              </w:rPr>
            </w:pPr>
          </w:p>
        </w:tc>
      </w:tr>
    </w:tbl>
    <w:p w:rsidR="009B5E65" w:rsidRPr="004308EC" w:rsidRDefault="00DE2090" w:rsidP="009B5E65">
      <w:pPr>
        <w:spacing w:after="0" w:line="240" w:lineRule="auto"/>
        <w:rPr>
          <w:sz w:val="20"/>
        </w:rPr>
      </w:pPr>
      <w:r>
        <w:rPr>
          <w:sz w:val="20"/>
        </w:rPr>
        <w:t>Source:</w:t>
      </w:r>
      <w:r>
        <w:rPr>
          <w:sz w:val="20"/>
        </w:rPr>
        <w:tab/>
        <w:t>Authors' calculations using world prices from World Bank (2009b).</w:t>
      </w:r>
    </w:p>
    <w:p w:rsidR="009B5E65" w:rsidRDefault="009B5E65" w:rsidP="009B5E65">
      <w:pPr>
        <w:spacing w:after="0" w:line="240" w:lineRule="auto"/>
      </w:pPr>
    </w:p>
    <w:p w:rsidR="009B5E65" w:rsidRDefault="009B5E65" w:rsidP="009B5E65">
      <w:pPr>
        <w:spacing w:after="0" w:line="240" w:lineRule="auto"/>
      </w:pPr>
    </w:p>
    <w:p w:rsidR="009B5E65" w:rsidRDefault="009B5E65" w:rsidP="009B5E65">
      <w:r>
        <w:br w:type="page"/>
      </w:r>
    </w:p>
    <w:p w:rsidR="000076E9" w:rsidRDefault="00883E0D" w:rsidP="00883E0D">
      <w:pPr>
        <w:spacing w:after="0"/>
      </w:pPr>
      <w:r>
        <w:lastRenderedPageBreak/>
        <w:t>Table 6: Model results for the 2008 food and fuel crisis</w:t>
      </w:r>
    </w:p>
    <w:tbl>
      <w:tblPr>
        <w:tblStyle w:val="TableGrid"/>
        <w:tblW w:w="6048" w:type="dxa"/>
        <w:tblBorders>
          <w:left w:val="none" w:sz="0" w:space="0" w:color="auto"/>
          <w:right w:val="none" w:sz="0" w:space="0" w:color="auto"/>
          <w:insideH w:val="none" w:sz="0" w:space="0" w:color="auto"/>
          <w:insideV w:val="none" w:sz="0" w:space="0" w:color="auto"/>
        </w:tblBorders>
        <w:tblLayout w:type="fixed"/>
        <w:tblLook w:val="04A0"/>
      </w:tblPr>
      <w:tblGrid>
        <w:gridCol w:w="1995"/>
        <w:gridCol w:w="1306"/>
        <w:gridCol w:w="1307"/>
        <w:gridCol w:w="1440"/>
      </w:tblGrid>
      <w:tr w:rsidR="00DC3928" w:rsidRPr="00F84E1D" w:rsidTr="00B6702B">
        <w:tc>
          <w:tcPr>
            <w:tcW w:w="1995" w:type="dxa"/>
            <w:tcBorders>
              <w:top w:val="single" w:sz="4" w:space="0" w:color="000000" w:themeColor="text1"/>
              <w:bottom w:val="nil"/>
            </w:tcBorders>
          </w:tcPr>
          <w:p w:rsidR="00DC3928" w:rsidRPr="00F84E1D" w:rsidRDefault="00DC3928" w:rsidP="00B6702B">
            <w:pPr>
              <w:rPr>
                <w:sz w:val="20"/>
                <w:szCs w:val="20"/>
              </w:rPr>
            </w:pPr>
          </w:p>
        </w:tc>
        <w:tc>
          <w:tcPr>
            <w:tcW w:w="2613" w:type="dxa"/>
            <w:gridSpan w:val="2"/>
            <w:tcBorders>
              <w:top w:val="single" w:sz="4" w:space="0" w:color="000000" w:themeColor="text1"/>
              <w:bottom w:val="single" w:sz="4" w:space="0" w:color="000000" w:themeColor="text1"/>
            </w:tcBorders>
          </w:tcPr>
          <w:p w:rsidR="00DC3928" w:rsidRPr="00F84E1D" w:rsidRDefault="00DC3928" w:rsidP="00B6702B">
            <w:pPr>
              <w:jc w:val="center"/>
              <w:rPr>
                <w:sz w:val="20"/>
                <w:szCs w:val="20"/>
              </w:rPr>
            </w:pPr>
            <w:r w:rsidRPr="00F84E1D">
              <w:rPr>
                <w:sz w:val="20"/>
                <w:szCs w:val="20"/>
              </w:rPr>
              <w:t>Baseline scenario</w:t>
            </w:r>
          </w:p>
        </w:tc>
        <w:tc>
          <w:tcPr>
            <w:tcW w:w="1440" w:type="dxa"/>
            <w:tcBorders>
              <w:top w:val="single" w:sz="4" w:space="0" w:color="000000" w:themeColor="text1"/>
            </w:tcBorders>
          </w:tcPr>
          <w:p w:rsidR="00DC3928" w:rsidRPr="00F84E1D" w:rsidRDefault="00DC3928" w:rsidP="00DC3928">
            <w:pPr>
              <w:jc w:val="center"/>
              <w:rPr>
                <w:sz w:val="20"/>
                <w:szCs w:val="20"/>
              </w:rPr>
            </w:pPr>
            <w:r w:rsidRPr="00F84E1D">
              <w:rPr>
                <w:sz w:val="20"/>
                <w:szCs w:val="20"/>
              </w:rPr>
              <w:t>Food/fuel</w:t>
            </w:r>
            <w:r>
              <w:rPr>
                <w:sz w:val="20"/>
                <w:szCs w:val="20"/>
              </w:rPr>
              <w:t xml:space="preserve"> </w:t>
            </w:r>
            <w:r w:rsidRPr="00F84E1D">
              <w:rPr>
                <w:sz w:val="20"/>
                <w:szCs w:val="20"/>
              </w:rPr>
              <w:t>(1)</w:t>
            </w:r>
          </w:p>
        </w:tc>
      </w:tr>
      <w:tr w:rsidR="003F1CF9" w:rsidRPr="00F84E1D" w:rsidTr="00B6702B">
        <w:tc>
          <w:tcPr>
            <w:tcW w:w="1995" w:type="dxa"/>
            <w:tcBorders>
              <w:top w:val="single" w:sz="4" w:space="0" w:color="000000" w:themeColor="text1"/>
              <w:bottom w:val="nil"/>
            </w:tcBorders>
          </w:tcPr>
          <w:p w:rsidR="003F1CF9" w:rsidRPr="00F84E1D" w:rsidRDefault="003F1CF9" w:rsidP="00B6702B">
            <w:pPr>
              <w:rPr>
                <w:sz w:val="20"/>
                <w:szCs w:val="20"/>
              </w:rPr>
            </w:pPr>
          </w:p>
        </w:tc>
        <w:tc>
          <w:tcPr>
            <w:tcW w:w="1306" w:type="dxa"/>
            <w:tcBorders>
              <w:top w:val="single" w:sz="4" w:space="0" w:color="000000" w:themeColor="text1"/>
              <w:bottom w:val="single" w:sz="4" w:space="0" w:color="000000" w:themeColor="text1"/>
            </w:tcBorders>
          </w:tcPr>
          <w:p w:rsidR="003F1CF9" w:rsidRDefault="003F1CF9" w:rsidP="003F1CF9">
            <w:pPr>
              <w:autoSpaceDE w:val="0"/>
              <w:autoSpaceDN w:val="0"/>
              <w:adjustRightInd w:val="0"/>
              <w:jc w:val="center"/>
              <w:rPr>
                <w:sz w:val="20"/>
                <w:szCs w:val="20"/>
              </w:rPr>
            </w:pPr>
            <w:r w:rsidRPr="00F84E1D">
              <w:rPr>
                <w:sz w:val="20"/>
                <w:szCs w:val="20"/>
              </w:rPr>
              <w:t>Initial</w:t>
            </w:r>
            <w:r>
              <w:rPr>
                <w:sz w:val="20"/>
                <w:szCs w:val="20"/>
              </w:rPr>
              <w:t xml:space="preserve">, </w:t>
            </w:r>
          </w:p>
          <w:p w:rsidR="003F1CF9" w:rsidRPr="00F84E1D" w:rsidRDefault="003F1CF9" w:rsidP="003F1CF9">
            <w:pPr>
              <w:jc w:val="center"/>
              <w:rPr>
                <w:sz w:val="20"/>
                <w:szCs w:val="20"/>
              </w:rPr>
            </w:pPr>
            <w:r>
              <w:rPr>
                <w:sz w:val="20"/>
                <w:szCs w:val="20"/>
              </w:rPr>
              <w:t>2007</w:t>
            </w:r>
          </w:p>
        </w:tc>
        <w:tc>
          <w:tcPr>
            <w:tcW w:w="1307" w:type="dxa"/>
            <w:tcBorders>
              <w:top w:val="single" w:sz="4" w:space="0" w:color="000000" w:themeColor="text1"/>
              <w:bottom w:val="single" w:sz="4" w:space="0" w:color="000000" w:themeColor="text1"/>
            </w:tcBorders>
          </w:tcPr>
          <w:p w:rsidR="003F1CF9" w:rsidRPr="00F84E1D" w:rsidRDefault="003F1CF9" w:rsidP="009E1143">
            <w:pPr>
              <w:jc w:val="center"/>
              <w:rPr>
                <w:sz w:val="20"/>
                <w:szCs w:val="20"/>
              </w:rPr>
            </w:pPr>
            <w:r>
              <w:rPr>
                <w:sz w:val="20"/>
                <w:szCs w:val="20"/>
              </w:rPr>
              <w:t xml:space="preserve">Change, </w:t>
            </w:r>
            <w:r w:rsidR="009E1143">
              <w:rPr>
                <w:sz w:val="20"/>
                <w:szCs w:val="20"/>
              </w:rPr>
              <w:t>20</w:t>
            </w:r>
            <w:r>
              <w:rPr>
                <w:sz w:val="20"/>
                <w:szCs w:val="20"/>
              </w:rPr>
              <w:t>08 (%)</w:t>
            </w:r>
          </w:p>
        </w:tc>
        <w:tc>
          <w:tcPr>
            <w:tcW w:w="1440" w:type="dxa"/>
            <w:tcBorders>
              <w:top w:val="single" w:sz="4" w:space="0" w:color="000000" w:themeColor="text1"/>
            </w:tcBorders>
          </w:tcPr>
          <w:p w:rsidR="009E1143" w:rsidRDefault="003F1CF9" w:rsidP="009E1143">
            <w:pPr>
              <w:jc w:val="center"/>
              <w:rPr>
                <w:sz w:val="20"/>
                <w:szCs w:val="20"/>
              </w:rPr>
            </w:pPr>
            <w:r w:rsidRPr="00F84E1D">
              <w:rPr>
                <w:sz w:val="20"/>
                <w:szCs w:val="20"/>
              </w:rPr>
              <w:t>Deviation from base</w:t>
            </w:r>
            <w:r w:rsidR="0065751D">
              <w:rPr>
                <w:sz w:val="20"/>
                <w:szCs w:val="20"/>
              </w:rPr>
              <w:t>line</w:t>
            </w:r>
            <w:r w:rsidR="00C7253B">
              <w:rPr>
                <w:sz w:val="20"/>
                <w:szCs w:val="20"/>
              </w:rPr>
              <w:t xml:space="preserve">, </w:t>
            </w:r>
            <w:r w:rsidR="009E1143">
              <w:rPr>
                <w:sz w:val="20"/>
                <w:szCs w:val="20"/>
              </w:rPr>
              <w:t>20</w:t>
            </w:r>
            <w:r w:rsidR="00C7253B">
              <w:rPr>
                <w:sz w:val="20"/>
                <w:szCs w:val="20"/>
              </w:rPr>
              <w:t>08</w:t>
            </w:r>
            <w:r w:rsidRPr="00F84E1D">
              <w:rPr>
                <w:sz w:val="20"/>
                <w:szCs w:val="20"/>
              </w:rPr>
              <w:t xml:space="preserve"> </w:t>
            </w:r>
          </w:p>
          <w:p w:rsidR="003F1CF9" w:rsidRPr="00F84E1D" w:rsidRDefault="003F1CF9" w:rsidP="009E1143">
            <w:pPr>
              <w:jc w:val="center"/>
              <w:rPr>
                <w:sz w:val="20"/>
                <w:szCs w:val="20"/>
              </w:rPr>
            </w:pPr>
            <w:r w:rsidRPr="00F84E1D">
              <w:rPr>
                <w:sz w:val="20"/>
                <w:szCs w:val="20"/>
              </w:rPr>
              <w:t>(%-point)</w:t>
            </w:r>
          </w:p>
        </w:tc>
      </w:tr>
      <w:tr w:rsidR="00FC5326" w:rsidRPr="00F84E1D" w:rsidTr="00DC3928">
        <w:trPr>
          <w:trHeight w:hRule="exact" w:val="115"/>
        </w:trPr>
        <w:tc>
          <w:tcPr>
            <w:tcW w:w="1995" w:type="dxa"/>
            <w:tcBorders>
              <w:top w:val="single" w:sz="4" w:space="0" w:color="000000" w:themeColor="text1"/>
            </w:tcBorders>
          </w:tcPr>
          <w:p w:rsidR="00FC5326" w:rsidRPr="00F84E1D" w:rsidRDefault="00FC5326" w:rsidP="00B6702B">
            <w:pPr>
              <w:autoSpaceDE w:val="0"/>
              <w:autoSpaceDN w:val="0"/>
              <w:adjustRightInd w:val="0"/>
              <w:rPr>
                <w:rFonts w:cs="Calibri"/>
                <w:color w:val="000000"/>
                <w:sz w:val="20"/>
                <w:szCs w:val="20"/>
              </w:rPr>
            </w:pPr>
          </w:p>
        </w:tc>
        <w:tc>
          <w:tcPr>
            <w:tcW w:w="1306" w:type="dxa"/>
            <w:tcBorders>
              <w:top w:val="single" w:sz="4" w:space="0" w:color="000000" w:themeColor="text1"/>
              <w:bottom w:val="nil"/>
            </w:tcBorders>
          </w:tcPr>
          <w:p w:rsidR="00FC5326" w:rsidRPr="00F84E1D" w:rsidRDefault="00FC5326" w:rsidP="00B6702B">
            <w:pPr>
              <w:rPr>
                <w:sz w:val="20"/>
                <w:szCs w:val="20"/>
              </w:rPr>
            </w:pPr>
          </w:p>
        </w:tc>
        <w:tc>
          <w:tcPr>
            <w:tcW w:w="1307" w:type="dxa"/>
            <w:tcBorders>
              <w:top w:val="single" w:sz="4" w:space="0" w:color="000000" w:themeColor="text1"/>
              <w:bottom w:val="nil"/>
            </w:tcBorders>
          </w:tcPr>
          <w:p w:rsidR="00FC5326" w:rsidRPr="00F84E1D" w:rsidRDefault="00FC5326" w:rsidP="00B6702B">
            <w:pPr>
              <w:rPr>
                <w:sz w:val="20"/>
                <w:szCs w:val="20"/>
              </w:rPr>
            </w:pPr>
          </w:p>
        </w:tc>
        <w:tc>
          <w:tcPr>
            <w:tcW w:w="1440" w:type="dxa"/>
            <w:tcBorders>
              <w:top w:val="single" w:sz="4" w:space="0" w:color="000000" w:themeColor="text1"/>
              <w:bottom w:val="nil"/>
            </w:tcBorders>
          </w:tcPr>
          <w:p w:rsidR="00FC5326" w:rsidRPr="00F84E1D" w:rsidRDefault="00FC5326" w:rsidP="00B6702B">
            <w:pPr>
              <w:rPr>
                <w:sz w:val="20"/>
                <w:szCs w:val="20"/>
              </w:rPr>
            </w:pP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Real GDP</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100.0</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7.0</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-0.2</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Absorption (C+I+G)</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113.3</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7.3</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1.1</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Consumption (C) </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57.6</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5.3</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1.5</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Investment (I)</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41.6</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9.9</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0.8</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Government (G)</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14.1</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8.2</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0.0</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Exports (E)</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76.5</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7.3</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Imports (M)</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89.8</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7.7</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0.7</w:t>
            </w:r>
          </w:p>
        </w:tc>
      </w:tr>
      <w:tr w:rsidR="00120F75" w:rsidRPr="00F84E1D" w:rsidTr="00FC5326">
        <w:trPr>
          <w:trHeight w:hRule="exact" w:val="115"/>
        </w:trPr>
        <w:tc>
          <w:tcPr>
            <w:tcW w:w="1995" w:type="dxa"/>
          </w:tcPr>
          <w:p w:rsidR="00120F75" w:rsidRPr="00F84E1D" w:rsidRDefault="00120F75" w:rsidP="00B6702B">
            <w:pPr>
              <w:autoSpaceDE w:val="0"/>
              <w:autoSpaceDN w:val="0"/>
              <w:adjustRightInd w:val="0"/>
              <w:jc w:val="right"/>
              <w:rPr>
                <w:rFonts w:cs="Calibri"/>
                <w:color w:val="000000"/>
                <w:sz w:val="20"/>
                <w:szCs w:val="20"/>
              </w:rPr>
            </w:pPr>
          </w:p>
        </w:tc>
        <w:tc>
          <w:tcPr>
            <w:tcW w:w="1306" w:type="dxa"/>
          </w:tcPr>
          <w:p w:rsidR="00120F75" w:rsidRDefault="00120F75">
            <w:pPr>
              <w:autoSpaceDE w:val="0"/>
              <w:autoSpaceDN w:val="0"/>
              <w:adjustRightInd w:val="0"/>
              <w:jc w:val="right"/>
              <w:rPr>
                <w:rFonts w:ascii="Calibri" w:hAnsi="Calibri" w:cs="Calibri"/>
                <w:color w:val="000000"/>
                <w:sz w:val="20"/>
                <w:szCs w:val="20"/>
              </w:rPr>
            </w:pPr>
          </w:p>
        </w:tc>
        <w:tc>
          <w:tcPr>
            <w:tcW w:w="1307" w:type="dxa"/>
          </w:tcPr>
          <w:p w:rsidR="00120F75" w:rsidRDefault="00120F75">
            <w:pPr>
              <w:autoSpaceDE w:val="0"/>
              <w:autoSpaceDN w:val="0"/>
              <w:adjustRightInd w:val="0"/>
              <w:jc w:val="right"/>
              <w:rPr>
                <w:rFonts w:ascii="Calibri" w:hAnsi="Calibri" w:cs="Calibri"/>
                <w:color w:val="000000"/>
                <w:sz w:val="20"/>
                <w:szCs w:val="20"/>
              </w:rPr>
            </w:pPr>
          </w:p>
        </w:tc>
        <w:tc>
          <w:tcPr>
            <w:tcW w:w="1440" w:type="dxa"/>
          </w:tcPr>
          <w:p w:rsidR="00120F75" w:rsidRDefault="00120F75">
            <w:pPr>
              <w:autoSpaceDE w:val="0"/>
              <w:autoSpaceDN w:val="0"/>
              <w:adjustRightInd w:val="0"/>
              <w:jc w:val="right"/>
              <w:rPr>
                <w:rFonts w:ascii="Calibri" w:hAnsi="Calibri" w:cs="Calibri"/>
                <w:color w:val="000000"/>
                <w:sz w:val="20"/>
                <w:szCs w:val="20"/>
              </w:rPr>
            </w:pP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Real exchange rate</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100.0</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1.5</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-2.1</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Terms of trade</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100.0</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0.0</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2.3</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Exports</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100.0</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0.0</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7.7</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Imports</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100.0</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0.0</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5.3</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Consumer price index</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100.0</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0.5</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-1.4</w:t>
            </w:r>
          </w:p>
        </w:tc>
      </w:tr>
      <w:tr w:rsidR="00120F75" w:rsidRPr="00F84E1D" w:rsidTr="00FC5326">
        <w:trPr>
          <w:trHeight w:hRule="exact" w:val="115"/>
        </w:trPr>
        <w:tc>
          <w:tcPr>
            <w:tcW w:w="1995" w:type="dxa"/>
          </w:tcPr>
          <w:p w:rsidR="00120F75" w:rsidRPr="00F84E1D" w:rsidRDefault="00120F75" w:rsidP="00B6702B">
            <w:pPr>
              <w:autoSpaceDE w:val="0"/>
              <w:autoSpaceDN w:val="0"/>
              <w:adjustRightInd w:val="0"/>
              <w:jc w:val="right"/>
              <w:rPr>
                <w:rFonts w:cs="Calibri"/>
                <w:color w:val="000000"/>
                <w:sz w:val="20"/>
                <w:szCs w:val="20"/>
              </w:rPr>
            </w:pPr>
          </w:p>
        </w:tc>
        <w:tc>
          <w:tcPr>
            <w:tcW w:w="1306" w:type="dxa"/>
          </w:tcPr>
          <w:p w:rsidR="00120F75" w:rsidRDefault="00120F75">
            <w:pPr>
              <w:autoSpaceDE w:val="0"/>
              <w:autoSpaceDN w:val="0"/>
              <w:adjustRightInd w:val="0"/>
              <w:jc w:val="right"/>
              <w:rPr>
                <w:rFonts w:ascii="Calibri" w:hAnsi="Calibri" w:cs="Calibri"/>
                <w:color w:val="000000"/>
                <w:sz w:val="20"/>
                <w:szCs w:val="20"/>
              </w:rPr>
            </w:pPr>
          </w:p>
        </w:tc>
        <w:tc>
          <w:tcPr>
            <w:tcW w:w="1307" w:type="dxa"/>
          </w:tcPr>
          <w:p w:rsidR="00120F75" w:rsidRDefault="00120F75">
            <w:pPr>
              <w:autoSpaceDE w:val="0"/>
              <w:autoSpaceDN w:val="0"/>
              <w:adjustRightInd w:val="0"/>
              <w:jc w:val="right"/>
              <w:rPr>
                <w:rFonts w:ascii="Calibri" w:hAnsi="Calibri" w:cs="Calibri"/>
                <w:color w:val="000000"/>
                <w:sz w:val="20"/>
                <w:szCs w:val="20"/>
              </w:rPr>
            </w:pPr>
          </w:p>
        </w:tc>
        <w:tc>
          <w:tcPr>
            <w:tcW w:w="1440" w:type="dxa"/>
          </w:tcPr>
          <w:p w:rsidR="00120F75" w:rsidRDefault="00120F75">
            <w:pPr>
              <w:autoSpaceDE w:val="0"/>
              <w:autoSpaceDN w:val="0"/>
              <w:adjustRightInd w:val="0"/>
              <w:jc w:val="right"/>
              <w:rPr>
                <w:rFonts w:ascii="Calibri" w:hAnsi="Calibri" w:cs="Calibri"/>
                <w:color w:val="000000"/>
                <w:sz w:val="20"/>
                <w:szCs w:val="20"/>
              </w:rPr>
            </w:pP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GDP at factor cost</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100.0</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7.0</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-0.2</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Agriculture</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22.1</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3.5</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0.5</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Crops</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13.4</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3.4</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1.9</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Livestock</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2.7</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4.5</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-0.2</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Other</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5.9</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3.0</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-2.2</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Industry</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41.7</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8.1</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-0.2</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Mining</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10.9</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6.2</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0.5</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Manufacturing</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20.1</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8.1</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Other</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10.7</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10.2</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0.7</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Services</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36.2</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8.0</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-0.6</w:t>
            </w:r>
          </w:p>
        </w:tc>
      </w:tr>
      <w:tr w:rsidR="00120F75" w:rsidRPr="00F84E1D" w:rsidTr="00FC5326">
        <w:trPr>
          <w:trHeight w:hRule="exact" w:val="115"/>
        </w:trPr>
        <w:tc>
          <w:tcPr>
            <w:tcW w:w="1995" w:type="dxa"/>
          </w:tcPr>
          <w:p w:rsidR="00120F75" w:rsidRPr="00F84E1D" w:rsidRDefault="00120F75" w:rsidP="00B6702B">
            <w:pPr>
              <w:autoSpaceDE w:val="0"/>
              <w:autoSpaceDN w:val="0"/>
              <w:adjustRightInd w:val="0"/>
              <w:jc w:val="right"/>
              <w:rPr>
                <w:rFonts w:cs="Calibri"/>
                <w:color w:val="000000"/>
                <w:sz w:val="20"/>
                <w:szCs w:val="20"/>
              </w:rPr>
            </w:pPr>
          </w:p>
        </w:tc>
        <w:tc>
          <w:tcPr>
            <w:tcW w:w="1306" w:type="dxa"/>
          </w:tcPr>
          <w:p w:rsidR="00120F75" w:rsidRDefault="00120F75">
            <w:pPr>
              <w:autoSpaceDE w:val="0"/>
              <w:autoSpaceDN w:val="0"/>
              <w:adjustRightInd w:val="0"/>
              <w:jc w:val="right"/>
              <w:rPr>
                <w:rFonts w:ascii="Calibri" w:hAnsi="Calibri" w:cs="Calibri"/>
                <w:color w:val="000000"/>
                <w:sz w:val="20"/>
                <w:szCs w:val="20"/>
              </w:rPr>
            </w:pPr>
          </w:p>
        </w:tc>
        <w:tc>
          <w:tcPr>
            <w:tcW w:w="1307" w:type="dxa"/>
          </w:tcPr>
          <w:p w:rsidR="00120F75" w:rsidRDefault="00120F75">
            <w:pPr>
              <w:autoSpaceDE w:val="0"/>
              <w:autoSpaceDN w:val="0"/>
              <w:adjustRightInd w:val="0"/>
              <w:jc w:val="right"/>
              <w:rPr>
                <w:rFonts w:ascii="Calibri" w:hAnsi="Calibri" w:cs="Calibri"/>
                <w:color w:val="000000"/>
                <w:sz w:val="20"/>
                <w:szCs w:val="20"/>
              </w:rPr>
            </w:pPr>
          </w:p>
        </w:tc>
        <w:tc>
          <w:tcPr>
            <w:tcW w:w="1440" w:type="dxa"/>
          </w:tcPr>
          <w:p w:rsidR="00120F75" w:rsidRDefault="00120F75">
            <w:pPr>
              <w:autoSpaceDE w:val="0"/>
              <w:autoSpaceDN w:val="0"/>
              <w:adjustRightInd w:val="0"/>
              <w:jc w:val="right"/>
              <w:rPr>
                <w:rFonts w:ascii="Calibri" w:hAnsi="Calibri" w:cs="Calibri"/>
                <w:color w:val="000000"/>
                <w:sz w:val="20"/>
                <w:szCs w:val="20"/>
              </w:rPr>
            </w:pP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Employment</w:t>
            </w:r>
            <w:r>
              <w:rPr>
                <w:rFonts w:cs="Calibri"/>
                <w:color w:val="000000"/>
                <w:sz w:val="20"/>
                <w:szCs w:val="20"/>
              </w:rPr>
              <w:t xml:space="preserve"> (mil.)</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39.1</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2.7</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0.9</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Urban</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11.2</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4.0</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-0.3</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Rural</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27.9</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2.3</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1.4</w:t>
            </w:r>
          </w:p>
        </w:tc>
      </w:tr>
      <w:tr w:rsidR="00120F75" w:rsidRPr="00F84E1D" w:rsidTr="00DC3928">
        <w:trPr>
          <w:trHeight w:hRule="exact" w:val="115"/>
        </w:trPr>
        <w:tc>
          <w:tcPr>
            <w:tcW w:w="1995" w:type="dxa"/>
          </w:tcPr>
          <w:p w:rsidR="00120F75" w:rsidRPr="00F84E1D" w:rsidRDefault="00120F75" w:rsidP="00B6702B">
            <w:pPr>
              <w:autoSpaceDE w:val="0"/>
              <w:autoSpaceDN w:val="0"/>
              <w:adjustRightInd w:val="0"/>
              <w:jc w:val="right"/>
              <w:rPr>
                <w:rFonts w:cs="Calibri"/>
                <w:color w:val="000000"/>
                <w:sz w:val="20"/>
                <w:szCs w:val="20"/>
              </w:rPr>
            </w:pPr>
          </w:p>
        </w:tc>
        <w:tc>
          <w:tcPr>
            <w:tcW w:w="1306" w:type="dxa"/>
            <w:tcBorders>
              <w:bottom w:val="nil"/>
            </w:tcBorders>
          </w:tcPr>
          <w:p w:rsidR="00120F75" w:rsidRDefault="00120F75">
            <w:pPr>
              <w:autoSpaceDE w:val="0"/>
              <w:autoSpaceDN w:val="0"/>
              <w:adjustRightInd w:val="0"/>
              <w:jc w:val="right"/>
              <w:rPr>
                <w:rFonts w:ascii="Calibri" w:hAnsi="Calibri" w:cs="Calibri"/>
                <w:color w:val="000000"/>
                <w:sz w:val="20"/>
                <w:szCs w:val="20"/>
              </w:rPr>
            </w:pPr>
          </w:p>
        </w:tc>
        <w:tc>
          <w:tcPr>
            <w:tcW w:w="1307" w:type="dxa"/>
            <w:tcBorders>
              <w:bottom w:val="nil"/>
            </w:tcBorders>
          </w:tcPr>
          <w:p w:rsidR="00120F75" w:rsidRDefault="00120F75">
            <w:pPr>
              <w:autoSpaceDE w:val="0"/>
              <w:autoSpaceDN w:val="0"/>
              <w:adjustRightInd w:val="0"/>
              <w:jc w:val="right"/>
              <w:rPr>
                <w:rFonts w:ascii="Calibri" w:hAnsi="Calibri" w:cs="Calibri"/>
                <w:color w:val="000000"/>
                <w:sz w:val="20"/>
                <w:szCs w:val="20"/>
              </w:rPr>
            </w:pPr>
          </w:p>
        </w:tc>
        <w:tc>
          <w:tcPr>
            <w:tcW w:w="1440" w:type="dxa"/>
            <w:tcBorders>
              <w:bottom w:val="nil"/>
            </w:tcBorders>
          </w:tcPr>
          <w:p w:rsidR="00120F75" w:rsidRDefault="00120F75">
            <w:pPr>
              <w:autoSpaceDE w:val="0"/>
              <w:autoSpaceDN w:val="0"/>
              <w:adjustRightInd w:val="0"/>
              <w:jc w:val="right"/>
              <w:rPr>
                <w:rFonts w:ascii="Calibri" w:hAnsi="Calibri" w:cs="Calibri"/>
                <w:color w:val="000000"/>
                <w:sz w:val="20"/>
                <w:szCs w:val="20"/>
              </w:rPr>
            </w:pP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National poverty</w:t>
            </w:r>
            <w:r>
              <w:rPr>
                <w:rFonts w:cs="Calibri"/>
                <w:color w:val="000000"/>
                <w:sz w:val="20"/>
                <w:szCs w:val="20"/>
              </w:rPr>
              <w:t xml:space="preserve"> (%)</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47.3</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-1.4</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-3.6</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Urban</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15.2</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-1.8</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0.2</w:t>
            </w:r>
          </w:p>
        </w:tc>
      </w:tr>
      <w:tr w:rsidR="00120F75" w:rsidRPr="00F84E1D" w:rsidTr="00FC5326">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Rural</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59.0</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-1.2</w:t>
            </w:r>
          </w:p>
        </w:tc>
        <w:tc>
          <w:tcPr>
            <w:tcW w:w="1440"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-5.0</w:t>
            </w:r>
          </w:p>
        </w:tc>
      </w:tr>
      <w:tr w:rsidR="003F1CF9" w:rsidRPr="00F84E1D" w:rsidTr="00FC5326">
        <w:trPr>
          <w:trHeight w:hRule="exact" w:val="115"/>
        </w:trPr>
        <w:tc>
          <w:tcPr>
            <w:tcW w:w="1995" w:type="dxa"/>
          </w:tcPr>
          <w:p w:rsidR="003F1CF9" w:rsidRPr="00F84E1D" w:rsidRDefault="003F1CF9" w:rsidP="00B6702B">
            <w:pPr>
              <w:rPr>
                <w:sz w:val="20"/>
                <w:szCs w:val="20"/>
              </w:rPr>
            </w:pPr>
          </w:p>
        </w:tc>
        <w:tc>
          <w:tcPr>
            <w:tcW w:w="1306" w:type="dxa"/>
          </w:tcPr>
          <w:p w:rsidR="003F1CF9" w:rsidRPr="00F84E1D" w:rsidRDefault="003F1CF9" w:rsidP="00B6702B">
            <w:pPr>
              <w:rPr>
                <w:sz w:val="20"/>
                <w:szCs w:val="20"/>
              </w:rPr>
            </w:pPr>
          </w:p>
        </w:tc>
        <w:tc>
          <w:tcPr>
            <w:tcW w:w="1307" w:type="dxa"/>
          </w:tcPr>
          <w:p w:rsidR="003F1CF9" w:rsidRPr="00F84E1D" w:rsidRDefault="003F1CF9" w:rsidP="00B6702B">
            <w:pPr>
              <w:rPr>
                <w:sz w:val="20"/>
                <w:szCs w:val="20"/>
              </w:rPr>
            </w:pPr>
          </w:p>
        </w:tc>
        <w:tc>
          <w:tcPr>
            <w:tcW w:w="1440" w:type="dxa"/>
          </w:tcPr>
          <w:p w:rsidR="003F1CF9" w:rsidRPr="00F84E1D" w:rsidRDefault="003F1CF9" w:rsidP="00B6702B">
            <w:pPr>
              <w:rPr>
                <w:sz w:val="20"/>
                <w:szCs w:val="20"/>
              </w:rPr>
            </w:pPr>
          </w:p>
        </w:tc>
      </w:tr>
    </w:tbl>
    <w:p w:rsidR="00BF3346" w:rsidRDefault="00BF3346" w:rsidP="00BF3346">
      <w:pPr>
        <w:spacing w:after="0" w:line="240" w:lineRule="auto"/>
        <w:rPr>
          <w:sz w:val="20"/>
        </w:rPr>
      </w:pPr>
      <w:r>
        <w:rPr>
          <w:sz w:val="20"/>
        </w:rPr>
        <w:t xml:space="preserve">Source: </w:t>
      </w:r>
      <w:r>
        <w:rPr>
          <w:sz w:val="20"/>
        </w:rPr>
        <w:tab/>
        <w:t xml:space="preserve">Results from the Vietnam DCGE and micro-simulation model. </w:t>
      </w:r>
    </w:p>
    <w:p w:rsidR="00BF3346" w:rsidRDefault="00BF3346" w:rsidP="00F12B31">
      <w:pPr>
        <w:spacing w:after="0" w:line="240" w:lineRule="auto"/>
        <w:ind w:left="720" w:hanging="720"/>
        <w:rPr>
          <w:sz w:val="20"/>
        </w:rPr>
      </w:pPr>
      <w:r>
        <w:rPr>
          <w:sz w:val="20"/>
        </w:rPr>
        <w:t>Note</w:t>
      </w:r>
      <w:r w:rsidR="00F12B31">
        <w:rPr>
          <w:sz w:val="20"/>
        </w:rPr>
        <w:t>s</w:t>
      </w:r>
      <w:r>
        <w:rPr>
          <w:sz w:val="20"/>
        </w:rPr>
        <w:t>:</w:t>
      </w:r>
      <w:r>
        <w:rPr>
          <w:sz w:val="20"/>
        </w:rPr>
        <w:tab/>
      </w:r>
      <w:r w:rsidR="00F12B31">
        <w:rPr>
          <w:sz w:val="20"/>
        </w:rPr>
        <w:t>The first column of numbers provides, from the top, baseline shares of GDP, initial price index levels, baseline shares of GDP at factor, employment in millions, and the poverty rate. The p</w:t>
      </w:r>
      <w:r>
        <w:rPr>
          <w:sz w:val="20"/>
        </w:rPr>
        <w:t>overty rate is based</w:t>
      </w:r>
      <w:r w:rsidR="00F12B31">
        <w:rPr>
          <w:sz w:val="20"/>
        </w:rPr>
        <w:t xml:space="preserve"> </w:t>
      </w:r>
      <w:r>
        <w:rPr>
          <w:sz w:val="20"/>
        </w:rPr>
        <w:t>on a</w:t>
      </w:r>
      <w:r w:rsidR="00F12B31">
        <w:rPr>
          <w:sz w:val="20"/>
        </w:rPr>
        <w:t xml:space="preserve"> </w:t>
      </w:r>
      <w:r>
        <w:rPr>
          <w:sz w:val="20"/>
        </w:rPr>
        <w:t>US</w:t>
      </w:r>
      <w:r w:rsidR="00F12B31">
        <w:rPr>
          <w:sz w:val="20"/>
        </w:rPr>
        <w:t xml:space="preserve">D </w:t>
      </w:r>
      <w:r>
        <w:rPr>
          <w:sz w:val="20"/>
        </w:rPr>
        <w:t>2</w:t>
      </w:r>
      <w:r w:rsidR="00F12B31">
        <w:rPr>
          <w:sz w:val="20"/>
        </w:rPr>
        <w:t xml:space="preserve"> per </w:t>
      </w:r>
      <w:r>
        <w:rPr>
          <w:sz w:val="20"/>
        </w:rPr>
        <w:t xml:space="preserve">day poverty line calculated using 2006 VHLSS (GSO, 2007). </w:t>
      </w:r>
    </w:p>
    <w:p w:rsidR="000076E9" w:rsidRDefault="000076E9"/>
    <w:p w:rsidR="00106F86" w:rsidRDefault="00106F86">
      <w:r>
        <w:br w:type="page"/>
      </w:r>
    </w:p>
    <w:p w:rsidR="009B5E65" w:rsidRDefault="009B5E65" w:rsidP="009B5E65">
      <w:pPr>
        <w:spacing w:after="0" w:line="240" w:lineRule="auto"/>
      </w:pPr>
      <w:r>
        <w:lastRenderedPageBreak/>
        <w:t>Figure 4: National poverty headcount, 2007-2010</w:t>
      </w:r>
    </w:p>
    <w:p w:rsidR="009B5E65" w:rsidRDefault="00120F75" w:rsidP="009B5E65">
      <w:pPr>
        <w:pBdr>
          <w:top w:val="single" w:sz="6" w:space="1" w:color="auto"/>
          <w:bottom w:val="single" w:sz="6" w:space="1" w:color="auto"/>
        </w:pBdr>
        <w:spacing w:after="0" w:line="240" w:lineRule="auto"/>
        <w:jc w:val="center"/>
      </w:pPr>
      <w:r w:rsidRPr="00120F75">
        <w:rPr>
          <w:noProof/>
          <w:lang w:val="da-DK" w:eastAsia="da-DK"/>
        </w:rPr>
        <w:drawing>
          <wp:inline distT="0" distB="0" distL="0" distR="0">
            <wp:extent cx="5059456" cy="3095065"/>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B5E65" w:rsidRDefault="009B5E65" w:rsidP="009B5E65">
      <w:pPr>
        <w:spacing w:after="0" w:line="240" w:lineRule="auto"/>
        <w:rPr>
          <w:sz w:val="20"/>
        </w:rPr>
      </w:pPr>
      <w:r>
        <w:rPr>
          <w:sz w:val="20"/>
        </w:rPr>
        <w:t xml:space="preserve">Source: </w:t>
      </w:r>
      <w:r>
        <w:rPr>
          <w:sz w:val="20"/>
        </w:rPr>
        <w:tab/>
        <w:t xml:space="preserve">Results from the Vietnam DCGE and micro-simulation model. </w:t>
      </w:r>
    </w:p>
    <w:p w:rsidR="009B5E65" w:rsidRPr="002B0BF9" w:rsidRDefault="009B5E65" w:rsidP="009B5E65">
      <w:pPr>
        <w:spacing w:after="0" w:line="240" w:lineRule="auto"/>
        <w:rPr>
          <w:sz w:val="20"/>
        </w:rPr>
      </w:pPr>
      <w:r>
        <w:rPr>
          <w:sz w:val="20"/>
        </w:rPr>
        <w:t>Note:</w:t>
      </w:r>
      <w:r>
        <w:rPr>
          <w:sz w:val="20"/>
        </w:rPr>
        <w:tab/>
        <w:t xml:space="preserve">Poverty rate is the US$2-a-day poverty line calculated using 2006 VHLSS (GSO, 2007). </w:t>
      </w:r>
    </w:p>
    <w:p w:rsidR="009B5E65" w:rsidRDefault="009B5E65" w:rsidP="009B5E65">
      <w:pPr>
        <w:spacing w:after="120"/>
        <w:ind w:left="720" w:hanging="720"/>
      </w:pPr>
    </w:p>
    <w:p w:rsidR="009B5E65" w:rsidRDefault="009B5E65" w:rsidP="009B5E65"/>
    <w:p w:rsidR="007B2DB4" w:rsidRDefault="007B2DB4">
      <w:r>
        <w:br w:type="page"/>
      </w:r>
    </w:p>
    <w:p w:rsidR="003F1CF9" w:rsidRDefault="003F1CF9" w:rsidP="003F1CF9">
      <w:pPr>
        <w:spacing w:after="0"/>
      </w:pPr>
      <w:r>
        <w:lastRenderedPageBreak/>
        <w:t>Table 7: Model results for the 2009 financial crisis</w:t>
      </w:r>
    </w:p>
    <w:tbl>
      <w:tblPr>
        <w:tblStyle w:val="TableGrid"/>
        <w:tblW w:w="9558" w:type="dxa"/>
        <w:tblBorders>
          <w:left w:val="none" w:sz="0" w:space="0" w:color="auto"/>
          <w:right w:val="none" w:sz="0" w:space="0" w:color="auto"/>
          <w:insideH w:val="none" w:sz="0" w:space="0" w:color="auto"/>
          <w:insideV w:val="none" w:sz="0" w:space="0" w:color="auto"/>
        </w:tblBorders>
        <w:tblLayout w:type="fixed"/>
        <w:tblLook w:val="04A0"/>
      </w:tblPr>
      <w:tblGrid>
        <w:gridCol w:w="1995"/>
        <w:gridCol w:w="1306"/>
        <w:gridCol w:w="1307"/>
        <w:gridCol w:w="1237"/>
        <w:gridCol w:w="1238"/>
        <w:gridCol w:w="1237"/>
        <w:gridCol w:w="1238"/>
      </w:tblGrid>
      <w:tr w:rsidR="003F1CF9" w:rsidRPr="00F84E1D" w:rsidTr="003F1CF9">
        <w:tc>
          <w:tcPr>
            <w:tcW w:w="1995" w:type="dxa"/>
            <w:tcBorders>
              <w:top w:val="single" w:sz="4" w:space="0" w:color="000000" w:themeColor="text1"/>
              <w:bottom w:val="nil"/>
            </w:tcBorders>
          </w:tcPr>
          <w:p w:rsidR="003F1CF9" w:rsidRPr="00F84E1D" w:rsidRDefault="003F1CF9" w:rsidP="00B6702B">
            <w:pPr>
              <w:rPr>
                <w:sz w:val="20"/>
                <w:szCs w:val="20"/>
              </w:rPr>
            </w:pPr>
          </w:p>
        </w:tc>
        <w:tc>
          <w:tcPr>
            <w:tcW w:w="2613" w:type="dxa"/>
            <w:gridSpan w:val="2"/>
            <w:tcBorders>
              <w:top w:val="single" w:sz="4" w:space="0" w:color="000000" w:themeColor="text1"/>
              <w:bottom w:val="single" w:sz="4" w:space="0" w:color="000000" w:themeColor="text1"/>
            </w:tcBorders>
          </w:tcPr>
          <w:p w:rsidR="003F1CF9" w:rsidRPr="00F84E1D" w:rsidRDefault="003F1CF9" w:rsidP="007D42EB">
            <w:pPr>
              <w:jc w:val="center"/>
              <w:rPr>
                <w:sz w:val="20"/>
                <w:szCs w:val="20"/>
              </w:rPr>
            </w:pPr>
            <w:r>
              <w:rPr>
                <w:sz w:val="20"/>
                <w:szCs w:val="20"/>
              </w:rPr>
              <w:t>Food/fuel</w:t>
            </w:r>
            <w:r w:rsidRPr="00F84E1D">
              <w:rPr>
                <w:sz w:val="20"/>
                <w:szCs w:val="20"/>
              </w:rPr>
              <w:t xml:space="preserve"> scenario</w:t>
            </w:r>
            <w:r w:rsidR="007D42EB">
              <w:rPr>
                <w:sz w:val="20"/>
                <w:szCs w:val="20"/>
              </w:rPr>
              <w:t xml:space="preserve"> (2)</w:t>
            </w:r>
          </w:p>
        </w:tc>
        <w:tc>
          <w:tcPr>
            <w:tcW w:w="1237" w:type="dxa"/>
            <w:vMerge w:val="restart"/>
            <w:tcBorders>
              <w:top w:val="single" w:sz="4" w:space="0" w:color="000000" w:themeColor="text1"/>
            </w:tcBorders>
          </w:tcPr>
          <w:p w:rsidR="003F1CF9" w:rsidRPr="00F84E1D" w:rsidRDefault="003F1CF9" w:rsidP="00B6702B">
            <w:pPr>
              <w:jc w:val="center"/>
              <w:rPr>
                <w:sz w:val="20"/>
                <w:szCs w:val="20"/>
              </w:rPr>
            </w:pPr>
            <w:r>
              <w:rPr>
                <w:sz w:val="20"/>
                <w:szCs w:val="20"/>
              </w:rPr>
              <w:t>2009 p</w:t>
            </w:r>
            <w:r w:rsidRPr="00F84E1D">
              <w:rPr>
                <w:sz w:val="20"/>
                <w:szCs w:val="20"/>
              </w:rPr>
              <w:t xml:space="preserve">rices </w:t>
            </w:r>
          </w:p>
          <w:p w:rsidR="003F1CF9" w:rsidRPr="00F84E1D" w:rsidRDefault="003F1CF9" w:rsidP="007D42EB">
            <w:pPr>
              <w:jc w:val="center"/>
              <w:rPr>
                <w:sz w:val="20"/>
                <w:szCs w:val="20"/>
              </w:rPr>
            </w:pPr>
            <w:r w:rsidRPr="00F84E1D">
              <w:rPr>
                <w:sz w:val="20"/>
                <w:szCs w:val="20"/>
              </w:rPr>
              <w:t>(</w:t>
            </w:r>
            <w:r w:rsidR="007D42EB">
              <w:rPr>
                <w:sz w:val="20"/>
                <w:szCs w:val="20"/>
              </w:rPr>
              <w:t>3</w:t>
            </w:r>
            <w:r w:rsidRPr="00F84E1D">
              <w:rPr>
                <w:sz w:val="20"/>
                <w:szCs w:val="20"/>
              </w:rPr>
              <w:t>)</w:t>
            </w:r>
          </w:p>
        </w:tc>
        <w:tc>
          <w:tcPr>
            <w:tcW w:w="1238" w:type="dxa"/>
            <w:vMerge w:val="restart"/>
            <w:tcBorders>
              <w:top w:val="single" w:sz="4" w:space="0" w:color="000000" w:themeColor="text1"/>
            </w:tcBorders>
          </w:tcPr>
          <w:p w:rsidR="003F1CF9" w:rsidRPr="00F84E1D" w:rsidRDefault="003F1CF9" w:rsidP="00B6702B">
            <w:pPr>
              <w:jc w:val="center"/>
              <w:rPr>
                <w:sz w:val="20"/>
                <w:szCs w:val="20"/>
              </w:rPr>
            </w:pPr>
            <w:r w:rsidRPr="00F84E1D">
              <w:rPr>
                <w:sz w:val="20"/>
                <w:szCs w:val="20"/>
              </w:rPr>
              <w:t>FDI</w:t>
            </w:r>
            <w:r>
              <w:rPr>
                <w:sz w:val="20"/>
                <w:szCs w:val="20"/>
              </w:rPr>
              <w:t xml:space="preserve"> outflows</w:t>
            </w:r>
            <w:r w:rsidRPr="00F84E1D">
              <w:rPr>
                <w:sz w:val="20"/>
                <w:szCs w:val="20"/>
              </w:rPr>
              <w:t xml:space="preserve"> </w:t>
            </w:r>
          </w:p>
          <w:p w:rsidR="003F1CF9" w:rsidRPr="00F84E1D" w:rsidRDefault="003F1CF9" w:rsidP="007D42EB">
            <w:pPr>
              <w:jc w:val="center"/>
              <w:rPr>
                <w:sz w:val="20"/>
                <w:szCs w:val="20"/>
              </w:rPr>
            </w:pPr>
            <w:r w:rsidRPr="00F84E1D">
              <w:rPr>
                <w:sz w:val="20"/>
                <w:szCs w:val="20"/>
              </w:rPr>
              <w:t xml:space="preserve"> (</w:t>
            </w:r>
            <w:r w:rsidR="007D42EB">
              <w:rPr>
                <w:sz w:val="20"/>
                <w:szCs w:val="20"/>
              </w:rPr>
              <w:t>4</w:t>
            </w:r>
            <w:r w:rsidRPr="00F84E1D">
              <w:rPr>
                <w:sz w:val="20"/>
                <w:szCs w:val="20"/>
              </w:rPr>
              <w:t>)</w:t>
            </w:r>
          </w:p>
        </w:tc>
        <w:tc>
          <w:tcPr>
            <w:tcW w:w="1237" w:type="dxa"/>
            <w:vMerge w:val="restart"/>
            <w:tcBorders>
              <w:top w:val="single" w:sz="4" w:space="0" w:color="000000" w:themeColor="text1"/>
            </w:tcBorders>
          </w:tcPr>
          <w:p w:rsidR="003F1CF9" w:rsidRPr="00F84E1D" w:rsidRDefault="003F1CF9" w:rsidP="00B6702B">
            <w:pPr>
              <w:jc w:val="center"/>
              <w:rPr>
                <w:sz w:val="20"/>
                <w:szCs w:val="20"/>
              </w:rPr>
            </w:pPr>
            <w:r w:rsidRPr="00F84E1D">
              <w:rPr>
                <w:sz w:val="20"/>
                <w:szCs w:val="20"/>
              </w:rPr>
              <w:t>Remittances</w:t>
            </w:r>
          </w:p>
          <w:p w:rsidR="003F1CF9" w:rsidRPr="00F84E1D" w:rsidRDefault="003F1CF9" w:rsidP="007D42EB">
            <w:pPr>
              <w:jc w:val="center"/>
              <w:rPr>
                <w:sz w:val="20"/>
                <w:szCs w:val="20"/>
              </w:rPr>
            </w:pPr>
            <w:r w:rsidRPr="00F84E1D">
              <w:rPr>
                <w:sz w:val="20"/>
                <w:szCs w:val="20"/>
              </w:rPr>
              <w:t>(</w:t>
            </w:r>
            <w:r w:rsidR="007D42EB">
              <w:rPr>
                <w:sz w:val="20"/>
                <w:szCs w:val="20"/>
              </w:rPr>
              <w:t>5</w:t>
            </w:r>
            <w:r w:rsidRPr="00F84E1D">
              <w:rPr>
                <w:sz w:val="20"/>
                <w:szCs w:val="20"/>
              </w:rPr>
              <w:t>)</w:t>
            </w:r>
          </w:p>
        </w:tc>
        <w:tc>
          <w:tcPr>
            <w:tcW w:w="1238" w:type="dxa"/>
            <w:vMerge w:val="restart"/>
            <w:tcBorders>
              <w:top w:val="single" w:sz="4" w:space="0" w:color="000000" w:themeColor="text1"/>
            </w:tcBorders>
          </w:tcPr>
          <w:p w:rsidR="003F1CF9" w:rsidRPr="00F84E1D" w:rsidRDefault="003F1CF9" w:rsidP="00B6702B">
            <w:pPr>
              <w:jc w:val="center"/>
              <w:rPr>
                <w:sz w:val="20"/>
                <w:szCs w:val="20"/>
              </w:rPr>
            </w:pPr>
            <w:r w:rsidRPr="00F84E1D">
              <w:rPr>
                <w:sz w:val="20"/>
                <w:szCs w:val="20"/>
              </w:rPr>
              <w:t xml:space="preserve">Stimulus </w:t>
            </w:r>
          </w:p>
          <w:p w:rsidR="003F1CF9" w:rsidRPr="00F84E1D" w:rsidRDefault="003F1CF9" w:rsidP="007D42EB">
            <w:pPr>
              <w:jc w:val="center"/>
              <w:rPr>
                <w:sz w:val="20"/>
                <w:szCs w:val="20"/>
              </w:rPr>
            </w:pPr>
            <w:r w:rsidRPr="00F84E1D">
              <w:rPr>
                <w:sz w:val="20"/>
                <w:szCs w:val="20"/>
              </w:rPr>
              <w:t>(</w:t>
            </w:r>
            <w:r w:rsidR="007D42EB">
              <w:rPr>
                <w:sz w:val="20"/>
                <w:szCs w:val="20"/>
              </w:rPr>
              <w:t>6</w:t>
            </w:r>
            <w:r w:rsidRPr="00F84E1D">
              <w:rPr>
                <w:sz w:val="20"/>
                <w:szCs w:val="20"/>
              </w:rPr>
              <w:t>)</w:t>
            </w:r>
          </w:p>
        </w:tc>
      </w:tr>
      <w:tr w:rsidR="003F1CF9" w:rsidRPr="00F84E1D" w:rsidTr="003F1CF9">
        <w:tc>
          <w:tcPr>
            <w:tcW w:w="1995" w:type="dxa"/>
            <w:tcBorders>
              <w:top w:val="nil"/>
              <w:bottom w:val="nil"/>
            </w:tcBorders>
          </w:tcPr>
          <w:p w:rsidR="003F1CF9" w:rsidRPr="00F84E1D" w:rsidRDefault="003F1CF9" w:rsidP="00B6702B">
            <w:pPr>
              <w:rPr>
                <w:sz w:val="20"/>
                <w:szCs w:val="20"/>
              </w:rPr>
            </w:pPr>
          </w:p>
        </w:tc>
        <w:tc>
          <w:tcPr>
            <w:tcW w:w="1306" w:type="dxa"/>
            <w:vMerge w:val="restart"/>
            <w:tcBorders>
              <w:top w:val="single" w:sz="4" w:space="0" w:color="000000" w:themeColor="text1"/>
            </w:tcBorders>
            <w:vAlign w:val="bottom"/>
          </w:tcPr>
          <w:p w:rsidR="003F1CF9" w:rsidRDefault="003F1CF9" w:rsidP="003F1CF9">
            <w:pPr>
              <w:autoSpaceDE w:val="0"/>
              <w:autoSpaceDN w:val="0"/>
              <w:adjustRightInd w:val="0"/>
              <w:jc w:val="center"/>
              <w:rPr>
                <w:sz w:val="20"/>
                <w:szCs w:val="20"/>
              </w:rPr>
            </w:pPr>
            <w:r w:rsidRPr="00F84E1D">
              <w:rPr>
                <w:sz w:val="20"/>
                <w:szCs w:val="20"/>
              </w:rPr>
              <w:t>Initial</w:t>
            </w:r>
            <w:r>
              <w:rPr>
                <w:sz w:val="20"/>
                <w:szCs w:val="20"/>
              </w:rPr>
              <w:t>,</w:t>
            </w:r>
          </w:p>
          <w:p w:rsidR="003F1CF9" w:rsidRPr="00F84E1D" w:rsidRDefault="009E1143" w:rsidP="003F1CF9">
            <w:pPr>
              <w:jc w:val="center"/>
              <w:rPr>
                <w:sz w:val="20"/>
                <w:szCs w:val="20"/>
              </w:rPr>
            </w:pPr>
            <w:r>
              <w:rPr>
                <w:sz w:val="20"/>
                <w:szCs w:val="20"/>
              </w:rPr>
              <w:t>2008</w:t>
            </w:r>
          </w:p>
        </w:tc>
        <w:tc>
          <w:tcPr>
            <w:tcW w:w="1307" w:type="dxa"/>
            <w:vMerge w:val="restart"/>
            <w:tcBorders>
              <w:top w:val="single" w:sz="4" w:space="0" w:color="000000" w:themeColor="text1"/>
            </w:tcBorders>
            <w:vAlign w:val="bottom"/>
          </w:tcPr>
          <w:p w:rsidR="003F1CF9" w:rsidRDefault="003F1CF9" w:rsidP="00906FAF">
            <w:pPr>
              <w:jc w:val="center"/>
              <w:rPr>
                <w:sz w:val="20"/>
                <w:szCs w:val="20"/>
              </w:rPr>
            </w:pPr>
            <w:r>
              <w:rPr>
                <w:sz w:val="20"/>
                <w:szCs w:val="20"/>
              </w:rPr>
              <w:t>Change, 200</w:t>
            </w:r>
            <w:r w:rsidR="009E1143">
              <w:rPr>
                <w:sz w:val="20"/>
                <w:szCs w:val="20"/>
              </w:rPr>
              <w:t>9</w:t>
            </w:r>
            <w:r>
              <w:rPr>
                <w:sz w:val="20"/>
                <w:szCs w:val="20"/>
              </w:rPr>
              <w:t xml:space="preserve"> (%)</w:t>
            </w:r>
          </w:p>
        </w:tc>
        <w:tc>
          <w:tcPr>
            <w:tcW w:w="1237" w:type="dxa"/>
            <w:vMerge/>
            <w:vAlign w:val="bottom"/>
          </w:tcPr>
          <w:p w:rsidR="003F1CF9" w:rsidRPr="00F84E1D" w:rsidRDefault="003F1CF9" w:rsidP="003F1CF9">
            <w:pPr>
              <w:jc w:val="center"/>
              <w:rPr>
                <w:sz w:val="20"/>
                <w:szCs w:val="20"/>
              </w:rPr>
            </w:pPr>
          </w:p>
        </w:tc>
        <w:tc>
          <w:tcPr>
            <w:tcW w:w="1238" w:type="dxa"/>
            <w:vMerge/>
            <w:vAlign w:val="bottom"/>
          </w:tcPr>
          <w:p w:rsidR="003F1CF9" w:rsidRPr="00F84E1D" w:rsidRDefault="003F1CF9" w:rsidP="003F1CF9">
            <w:pPr>
              <w:jc w:val="center"/>
              <w:rPr>
                <w:sz w:val="20"/>
                <w:szCs w:val="20"/>
              </w:rPr>
            </w:pPr>
          </w:p>
        </w:tc>
        <w:tc>
          <w:tcPr>
            <w:tcW w:w="1237" w:type="dxa"/>
            <w:vMerge/>
            <w:vAlign w:val="bottom"/>
          </w:tcPr>
          <w:p w:rsidR="003F1CF9" w:rsidRPr="00F84E1D" w:rsidRDefault="003F1CF9" w:rsidP="003F1CF9">
            <w:pPr>
              <w:jc w:val="center"/>
              <w:rPr>
                <w:sz w:val="20"/>
                <w:szCs w:val="20"/>
              </w:rPr>
            </w:pPr>
          </w:p>
        </w:tc>
        <w:tc>
          <w:tcPr>
            <w:tcW w:w="1238" w:type="dxa"/>
            <w:vMerge/>
            <w:vAlign w:val="bottom"/>
          </w:tcPr>
          <w:p w:rsidR="003F1CF9" w:rsidRPr="00F84E1D" w:rsidRDefault="003F1CF9" w:rsidP="003F1CF9">
            <w:pPr>
              <w:jc w:val="center"/>
              <w:rPr>
                <w:sz w:val="20"/>
                <w:szCs w:val="20"/>
              </w:rPr>
            </w:pPr>
          </w:p>
        </w:tc>
      </w:tr>
      <w:tr w:rsidR="003F1CF9" w:rsidRPr="00F84E1D" w:rsidTr="003F1CF9">
        <w:tc>
          <w:tcPr>
            <w:tcW w:w="1995" w:type="dxa"/>
            <w:tcBorders>
              <w:top w:val="nil"/>
              <w:bottom w:val="single" w:sz="4" w:space="0" w:color="000000" w:themeColor="text1"/>
            </w:tcBorders>
          </w:tcPr>
          <w:p w:rsidR="003F1CF9" w:rsidRPr="00F84E1D" w:rsidRDefault="003F1CF9" w:rsidP="00B6702B">
            <w:pPr>
              <w:rPr>
                <w:sz w:val="20"/>
                <w:szCs w:val="20"/>
              </w:rPr>
            </w:pPr>
          </w:p>
        </w:tc>
        <w:tc>
          <w:tcPr>
            <w:tcW w:w="1306" w:type="dxa"/>
            <w:vMerge/>
            <w:tcBorders>
              <w:bottom w:val="single" w:sz="4" w:space="0" w:color="000000" w:themeColor="text1"/>
            </w:tcBorders>
            <w:vAlign w:val="bottom"/>
          </w:tcPr>
          <w:p w:rsidR="003F1CF9" w:rsidRPr="00F84E1D" w:rsidRDefault="003F1CF9" w:rsidP="003F1CF9">
            <w:pPr>
              <w:jc w:val="center"/>
              <w:rPr>
                <w:sz w:val="20"/>
                <w:szCs w:val="20"/>
              </w:rPr>
            </w:pPr>
          </w:p>
        </w:tc>
        <w:tc>
          <w:tcPr>
            <w:tcW w:w="1307" w:type="dxa"/>
            <w:vMerge/>
            <w:tcBorders>
              <w:bottom w:val="single" w:sz="4" w:space="0" w:color="000000" w:themeColor="text1"/>
            </w:tcBorders>
            <w:vAlign w:val="bottom"/>
          </w:tcPr>
          <w:p w:rsidR="003F1CF9" w:rsidRPr="00F84E1D" w:rsidRDefault="003F1CF9" w:rsidP="003F1CF9">
            <w:pPr>
              <w:jc w:val="center"/>
              <w:rPr>
                <w:sz w:val="20"/>
                <w:szCs w:val="20"/>
              </w:rPr>
            </w:pPr>
          </w:p>
        </w:tc>
        <w:tc>
          <w:tcPr>
            <w:tcW w:w="4950" w:type="dxa"/>
            <w:gridSpan w:val="4"/>
            <w:tcBorders>
              <w:top w:val="single" w:sz="4" w:space="0" w:color="000000" w:themeColor="text1"/>
            </w:tcBorders>
            <w:vAlign w:val="bottom"/>
          </w:tcPr>
          <w:p w:rsidR="003F1CF9" w:rsidRPr="00F84E1D" w:rsidRDefault="003F1CF9" w:rsidP="00906FAF">
            <w:pPr>
              <w:jc w:val="center"/>
              <w:rPr>
                <w:sz w:val="20"/>
                <w:szCs w:val="20"/>
              </w:rPr>
            </w:pPr>
            <w:r w:rsidRPr="00F84E1D">
              <w:rPr>
                <w:sz w:val="20"/>
                <w:szCs w:val="20"/>
              </w:rPr>
              <w:t xml:space="preserve">Deviation from </w:t>
            </w:r>
            <w:r>
              <w:rPr>
                <w:sz w:val="20"/>
                <w:szCs w:val="20"/>
              </w:rPr>
              <w:t>food/fuel scenario</w:t>
            </w:r>
            <w:r w:rsidR="00734DDC">
              <w:rPr>
                <w:sz w:val="20"/>
                <w:szCs w:val="20"/>
              </w:rPr>
              <w:t xml:space="preserve">, </w:t>
            </w:r>
            <w:r w:rsidR="009E1143">
              <w:rPr>
                <w:sz w:val="20"/>
                <w:szCs w:val="20"/>
              </w:rPr>
              <w:t>20</w:t>
            </w:r>
            <w:r w:rsidR="00734DDC">
              <w:rPr>
                <w:sz w:val="20"/>
                <w:szCs w:val="20"/>
              </w:rPr>
              <w:t>09</w:t>
            </w:r>
            <w:r w:rsidRPr="00F84E1D">
              <w:rPr>
                <w:sz w:val="20"/>
                <w:szCs w:val="20"/>
              </w:rPr>
              <w:t xml:space="preserve"> (%-point)</w:t>
            </w:r>
          </w:p>
        </w:tc>
      </w:tr>
      <w:tr w:rsidR="003F1CF9" w:rsidRPr="00F84E1D" w:rsidTr="003F1CF9">
        <w:trPr>
          <w:trHeight w:hRule="exact" w:val="115"/>
        </w:trPr>
        <w:tc>
          <w:tcPr>
            <w:tcW w:w="1995" w:type="dxa"/>
            <w:tcBorders>
              <w:top w:val="single" w:sz="4" w:space="0" w:color="000000" w:themeColor="text1"/>
            </w:tcBorders>
          </w:tcPr>
          <w:p w:rsidR="003F1CF9" w:rsidRPr="00F84E1D" w:rsidRDefault="003F1CF9" w:rsidP="00B6702B">
            <w:pPr>
              <w:autoSpaceDE w:val="0"/>
              <w:autoSpaceDN w:val="0"/>
              <w:adjustRightInd w:val="0"/>
              <w:rPr>
                <w:rFonts w:cs="Calibri"/>
                <w:color w:val="000000"/>
                <w:sz w:val="20"/>
                <w:szCs w:val="20"/>
              </w:rPr>
            </w:pPr>
          </w:p>
        </w:tc>
        <w:tc>
          <w:tcPr>
            <w:tcW w:w="1306" w:type="dxa"/>
            <w:tcBorders>
              <w:top w:val="single" w:sz="4" w:space="0" w:color="000000" w:themeColor="text1"/>
              <w:bottom w:val="nil"/>
            </w:tcBorders>
          </w:tcPr>
          <w:p w:rsidR="003F1CF9" w:rsidRPr="00F84E1D" w:rsidRDefault="003F1CF9" w:rsidP="00B6702B">
            <w:pPr>
              <w:rPr>
                <w:sz w:val="20"/>
                <w:szCs w:val="20"/>
              </w:rPr>
            </w:pPr>
          </w:p>
        </w:tc>
        <w:tc>
          <w:tcPr>
            <w:tcW w:w="1307" w:type="dxa"/>
            <w:tcBorders>
              <w:top w:val="single" w:sz="4" w:space="0" w:color="000000" w:themeColor="text1"/>
              <w:bottom w:val="nil"/>
            </w:tcBorders>
          </w:tcPr>
          <w:p w:rsidR="003F1CF9" w:rsidRPr="00F84E1D" w:rsidRDefault="003F1CF9" w:rsidP="00B6702B">
            <w:pPr>
              <w:rPr>
                <w:sz w:val="20"/>
                <w:szCs w:val="20"/>
              </w:rPr>
            </w:pPr>
          </w:p>
        </w:tc>
        <w:tc>
          <w:tcPr>
            <w:tcW w:w="1237" w:type="dxa"/>
            <w:tcBorders>
              <w:top w:val="single" w:sz="4" w:space="0" w:color="000000" w:themeColor="text1"/>
              <w:bottom w:val="nil"/>
            </w:tcBorders>
          </w:tcPr>
          <w:p w:rsidR="003F1CF9" w:rsidRPr="00F84E1D" w:rsidRDefault="003F1CF9" w:rsidP="00B6702B">
            <w:pPr>
              <w:rPr>
                <w:sz w:val="20"/>
                <w:szCs w:val="20"/>
              </w:rPr>
            </w:pPr>
          </w:p>
        </w:tc>
        <w:tc>
          <w:tcPr>
            <w:tcW w:w="1238" w:type="dxa"/>
            <w:tcBorders>
              <w:top w:val="single" w:sz="4" w:space="0" w:color="000000" w:themeColor="text1"/>
              <w:bottom w:val="nil"/>
            </w:tcBorders>
          </w:tcPr>
          <w:p w:rsidR="003F1CF9" w:rsidRPr="00F84E1D" w:rsidRDefault="003F1CF9" w:rsidP="00B6702B">
            <w:pPr>
              <w:rPr>
                <w:sz w:val="20"/>
                <w:szCs w:val="20"/>
              </w:rPr>
            </w:pPr>
          </w:p>
        </w:tc>
        <w:tc>
          <w:tcPr>
            <w:tcW w:w="1237" w:type="dxa"/>
            <w:tcBorders>
              <w:top w:val="single" w:sz="4" w:space="0" w:color="000000" w:themeColor="text1"/>
              <w:bottom w:val="nil"/>
            </w:tcBorders>
          </w:tcPr>
          <w:p w:rsidR="003F1CF9" w:rsidRPr="00F84E1D" w:rsidRDefault="003F1CF9" w:rsidP="00B6702B">
            <w:pPr>
              <w:rPr>
                <w:sz w:val="20"/>
                <w:szCs w:val="20"/>
              </w:rPr>
            </w:pPr>
          </w:p>
        </w:tc>
        <w:tc>
          <w:tcPr>
            <w:tcW w:w="1238" w:type="dxa"/>
            <w:tcBorders>
              <w:top w:val="single" w:sz="4" w:space="0" w:color="000000" w:themeColor="text1"/>
              <w:bottom w:val="nil"/>
            </w:tcBorders>
          </w:tcPr>
          <w:p w:rsidR="003F1CF9" w:rsidRPr="00F84E1D" w:rsidRDefault="003F1CF9" w:rsidP="00B6702B">
            <w:pPr>
              <w:rPr>
                <w:sz w:val="20"/>
                <w:szCs w:val="20"/>
              </w:rPr>
            </w:pP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Real GDP</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100.0</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7.2</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0.5</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-3.4</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-3.7</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-2.3</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Absorption (C+I+G)</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115.0</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7.6</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1.5</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-4.1</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-5.3</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-2.2</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Consumption (C) </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57.6</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5.2</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0.9</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-2.7</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-4.3</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-1.8</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Investment (I)</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43.1</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10.6</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2.9</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-7.5</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-8.4</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-4.7</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Government (G)</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14.3</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8.2</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0.0</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0.0</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0.0</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3.9</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Exports (E)</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76.2</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7.7</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-0.6</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-4.5</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-4.1</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-4.4</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Imports (M)</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91.1</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8.1</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0.9</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-5.3</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-6.0</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-3.9</w:t>
            </w:r>
          </w:p>
        </w:tc>
      </w:tr>
      <w:tr w:rsidR="00120F75" w:rsidRPr="00F84E1D" w:rsidTr="003F1CF9">
        <w:trPr>
          <w:trHeight w:hRule="exact" w:val="115"/>
        </w:trPr>
        <w:tc>
          <w:tcPr>
            <w:tcW w:w="1995" w:type="dxa"/>
          </w:tcPr>
          <w:p w:rsidR="00120F75" w:rsidRPr="00F84E1D" w:rsidRDefault="00120F75" w:rsidP="00B6702B">
            <w:pPr>
              <w:autoSpaceDE w:val="0"/>
              <w:autoSpaceDN w:val="0"/>
              <w:adjustRightInd w:val="0"/>
              <w:jc w:val="right"/>
              <w:rPr>
                <w:rFonts w:cs="Calibri"/>
                <w:color w:val="000000"/>
                <w:sz w:val="20"/>
                <w:szCs w:val="20"/>
              </w:rPr>
            </w:pPr>
          </w:p>
        </w:tc>
        <w:tc>
          <w:tcPr>
            <w:tcW w:w="1306" w:type="dxa"/>
          </w:tcPr>
          <w:p w:rsidR="00120F75" w:rsidRDefault="00120F75">
            <w:pPr>
              <w:autoSpaceDE w:val="0"/>
              <w:autoSpaceDN w:val="0"/>
              <w:adjustRightInd w:val="0"/>
              <w:jc w:val="right"/>
              <w:rPr>
                <w:rFonts w:ascii="Calibri" w:hAnsi="Calibri" w:cs="Calibri"/>
                <w:color w:val="000000"/>
                <w:sz w:val="20"/>
                <w:szCs w:val="20"/>
              </w:rPr>
            </w:pPr>
          </w:p>
        </w:tc>
        <w:tc>
          <w:tcPr>
            <w:tcW w:w="1307" w:type="dxa"/>
          </w:tcPr>
          <w:p w:rsidR="00120F75" w:rsidRDefault="00120F75">
            <w:pPr>
              <w:autoSpaceDE w:val="0"/>
              <w:autoSpaceDN w:val="0"/>
              <w:adjustRightInd w:val="0"/>
              <w:jc w:val="right"/>
              <w:rPr>
                <w:rFonts w:ascii="Calibri" w:hAnsi="Calibri" w:cs="Calibri"/>
                <w:color w:val="000000"/>
                <w:sz w:val="20"/>
                <w:szCs w:val="20"/>
              </w:rPr>
            </w:pPr>
          </w:p>
        </w:tc>
        <w:tc>
          <w:tcPr>
            <w:tcW w:w="1237" w:type="dxa"/>
          </w:tcPr>
          <w:p w:rsidR="00120F75" w:rsidRDefault="00120F75">
            <w:pPr>
              <w:autoSpaceDE w:val="0"/>
              <w:autoSpaceDN w:val="0"/>
              <w:adjustRightInd w:val="0"/>
              <w:jc w:val="right"/>
              <w:rPr>
                <w:rFonts w:ascii="Calibri" w:hAnsi="Calibri" w:cs="Calibri"/>
                <w:color w:val="000000"/>
                <w:sz w:val="20"/>
                <w:szCs w:val="20"/>
              </w:rPr>
            </w:pPr>
          </w:p>
        </w:tc>
        <w:tc>
          <w:tcPr>
            <w:tcW w:w="1238" w:type="dxa"/>
          </w:tcPr>
          <w:p w:rsidR="00120F75" w:rsidRDefault="00120F75">
            <w:pPr>
              <w:autoSpaceDE w:val="0"/>
              <w:autoSpaceDN w:val="0"/>
              <w:adjustRightInd w:val="0"/>
              <w:jc w:val="right"/>
              <w:rPr>
                <w:rFonts w:ascii="Calibri" w:hAnsi="Calibri" w:cs="Calibri"/>
                <w:color w:val="000000"/>
                <w:sz w:val="20"/>
                <w:szCs w:val="20"/>
              </w:rPr>
            </w:pPr>
          </w:p>
        </w:tc>
        <w:tc>
          <w:tcPr>
            <w:tcW w:w="1237" w:type="dxa"/>
          </w:tcPr>
          <w:p w:rsidR="00120F75" w:rsidRDefault="00120F75">
            <w:pPr>
              <w:autoSpaceDE w:val="0"/>
              <w:autoSpaceDN w:val="0"/>
              <w:adjustRightInd w:val="0"/>
              <w:jc w:val="right"/>
              <w:rPr>
                <w:rFonts w:ascii="Calibri" w:hAnsi="Calibri" w:cs="Calibri"/>
                <w:color w:val="000000"/>
                <w:sz w:val="20"/>
                <w:szCs w:val="20"/>
              </w:rPr>
            </w:pPr>
          </w:p>
        </w:tc>
        <w:tc>
          <w:tcPr>
            <w:tcW w:w="1238" w:type="dxa"/>
          </w:tcPr>
          <w:p w:rsidR="00120F75" w:rsidRDefault="00120F75">
            <w:pPr>
              <w:autoSpaceDE w:val="0"/>
              <w:autoSpaceDN w:val="0"/>
              <w:adjustRightInd w:val="0"/>
              <w:jc w:val="right"/>
              <w:rPr>
                <w:rFonts w:ascii="Calibri" w:hAnsi="Calibri" w:cs="Calibri"/>
                <w:color w:val="000000"/>
                <w:sz w:val="20"/>
                <w:szCs w:val="20"/>
              </w:rPr>
            </w:pP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Real exchange rate</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100.0</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1.8</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-1.4</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-1.2</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-0.6</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-2.0</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Terms of trade</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100.0</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0.0</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0.5</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0.5</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0.5</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0.5</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Exports</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100.0</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0.0</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-6.8</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-6.8</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-6.8</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-6.8</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Imports</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100.0</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0.0</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-7.3</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-7.3</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-7.3</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-7.3</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Consumer price index</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100.0</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0.9</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0.5</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0.9</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0.5</w:t>
            </w:r>
          </w:p>
        </w:tc>
      </w:tr>
      <w:tr w:rsidR="00120F75" w:rsidRPr="00F84E1D" w:rsidTr="003F1CF9">
        <w:trPr>
          <w:trHeight w:hRule="exact" w:val="115"/>
        </w:trPr>
        <w:tc>
          <w:tcPr>
            <w:tcW w:w="1995" w:type="dxa"/>
          </w:tcPr>
          <w:p w:rsidR="00120F75" w:rsidRPr="00F84E1D" w:rsidRDefault="00120F75" w:rsidP="00B6702B">
            <w:pPr>
              <w:autoSpaceDE w:val="0"/>
              <w:autoSpaceDN w:val="0"/>
              <w:adjustRightInd w:val="0"/>
              <w:jc w:val="right"/>
              <w:rPr>
                <w:rFonts w:cs="Calibri"/>
                <w:color w:val="000000"/>
                <w:sz w:val="20"/>
                <w:szCs w:val="20"/>
              </w:rPr>
            </w:pPr>
          </w:p>
        </w:tc>
        <w:tc>
          <w:tcPr>
            <w:tcW w:w="1306" w:type="dxa"/>
          </w:tcPr>
          <w:p w:rsidR="00120F75" w:rsidRDefault="00120F75">
            <w:pPr>
              <w:autoSpaceDE w:val="0"/>
              <w:autoSpaceDN w:val="0"/>
              <w:adjustRightInd w:val="0"/>
              <w:jc w:val="right"/>
              <w:rPr>
                <w:rFonts w:ascii="Calibri" w:hAnsi="Calibri" w:cs="Calibri"/>
                <w:color w:val="000000"/>
                <w:sz w:val="20"/>
                <w:szCs w:val="20"/>
              </w:rPr>
            </w:pPr>
          </w:p>
        </w:tc>
        <w:tc>
          <w:tcPr>
            <w:tcW w:w="1307" w:type="dxa"/>
          </w:tcPr>
          <w:p w:rsidR="00120F75" w:rsidRDefault="00120F75">
            <w:pPr>
              <w:autoSpaceDE w:val="0"/>
              <w:autoSpaceDN w:val="0"/>
              <w:adjustRightInd w:val="0"/>
              <w:jc w:val="right"/>
              <w:rPr>
                <w:rFonts w:ascii="Calibri" w:hAnsi="Calibri" w:cs="Calibri"/>
                <w:color w:val="000000"/>
                <w:sz w:val="20"/>
                <w:szCs w:val="20"/>
              </w:rPr>
            </w:pPr>
          </w:p>
        </w:tc>
        <w:tc>
          <w:tcPr>
            <w:tcW w:w="1237" w:type="dxa"/>
          </w:tcPr>
          <w:p w:rsidR="00120F75" w:rsidRDefault="00120F75">
            <w:pPr>
              <w:autoSpaceDE w:val="0"/>
              <w:autoSpaceDN w:val="0"/>
              <w:adjustRightInd w:val="0"/>
              <w:jc w:val="right"/>
              <w:rPr>
                <w:rFonts w:ascii="Calibri" w:hAnsi="Calibri" w:cs="Calibri"/>
                <w:color w:val="000000"/>
                <w:sz w:val="20"/>
                <w:szCs w:val="20"/>
              </w:rPr>
            </w:pPr>
          </w:p>
        </w:tc>
        <w:tc>
          <w:tcPr>
            <w:tcW w:w="1238" w:type="dxa"/>
          </w:tcPr>
          <w:p w:rsidR="00120F75" w:rsidRDefault="00120F75">
            <w:pPr>
              <w:autoSpaceDE w:val="0"/>
              <w:autoSpaceDN w:val="0"/>
              <w:adjustRightInd w:val="0"/>
              <w:jc w:val="right"/>
              <w:rPr>
                <w:rFonts w:ascii="Calibri" w:hAnsi="Calibri" w:cs="Calibri"/>
                <w:color w:val="000000"/>
                <w:sz w:val="20"/>
                <w:szCs w:val="20"/>
              </w:rPr>
            </w:pPr>
          </w:p>
        </w:tc>
        <w:tc>
          <w:tcPr>
            <w:tcW w:w="1237" w:type="dxa"/>
          </w:tcPr>
          <w:p w:rsidR="00120F75" w:rsidRDefault="00120F75">
            <w:pPr>
              <w:autoSpaceDE w:val="0"/>
              <w:autoSpaceDN w:val="0"/>
              <w:adjustRightInd w:val="0"/>
              <w:jc w:val="right"/>
              <w:rPr>
                <w:rFonts w:ascii="Calibri" w:hAnsi="Calibri" w:cs="Calibri"/>
                <w:color w:val="000000"/>
                <w:sz w:val="20"/>
                <w:szCs w:val="20"/>
              </w:rPr>
            </w:pPr>
          </w:p>
        </w:tc>
        <w:tc>
          <w:tcPr>
            <w:tcW w:w="1238" w:type="dxa"/>
          </w:tcPr>
          <w:p w:rsidR="00120F75" w:rsidRDefault="00120F75">
            <w:pPr>
              <w:autoSpaceDE w:val="0"/>
              <w:autoSpaceDN w:val="0"/>
              <w:adjustRightInd w:val="0"/>
              <w:jc w:val="right"/>
              <w:rPr>
                <w:rFonts w:ascii="Calibri" w:hAnsi="Calibri" w:cs="Calibri"/>
                <w:color w:val="000000"/>
                <w:sz w:val="20"/>
                <w:szCs w:val="20"/>
              </w:rPr>
            </w:pP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GDP at factor cost</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100.0</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7.3</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0.4</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-3.4</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-3.6</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-2.2</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Agriculture</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21.5</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3.2</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-0.1</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-1.6</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-1.8</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0.3</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Crops</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13.2</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3.3</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-0.6</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-1.8</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-1.9</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0.6</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Livestock</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2.7</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4.6</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0.5</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-1.8</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-2.6</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-0.6</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Other</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5.6</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2.3</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0.6</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-1.3</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-1.3</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0.1</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Industry</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42.1</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8.4</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0.4</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-4.6</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-4.9</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-3.9</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Mining</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10.9</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6.2</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-0.8</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-1.1</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Manufacturing</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20.1</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8.4</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0.0</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-5.2</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-5.4</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-4.9</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Other</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11.1</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10.6</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2.2</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-7.2</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-8.0</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-4.8</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Services</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36.4</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8.3</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0.7</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-2.9</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-3.2</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-1.8</w:t>
            </w:r>
          </w:p>
        </w:tc>
      </w:tr>
      <w:tr w:rsidR="00120F75" w:rsidRPr="00F84E1D" w:rsidTr="003F1CF9">
        <w:trPr>
          <w:trHeight w:hRule="exact" w:val="115"/>
        </w:trPr>
        <w:tc>
          <w:tcPr>
            <w:tcW w:w="1995" w:type="dxa"/>
          </w:tcPr>
          <w:p w:rsidR="00120F75" w:rsidRPr="00F84E1D" w:rsidRDefault="00120F75" w:rsidP="00B6702B">
            <w:pPr>
              <w:autoSpaceDE w:val="0"/>
              <w:autoSpaceDN w:val="0"/>
              <w:adjustRightInd w:val="0"/>
              <w:jc w:val="right"/>
              <w:rPr>
                <w:rFonts w:cs="Calibri"/>
                <w:color w:val="000000"/>
                <w:sz w:val="20"/>
                <w:szCs w:val="20"/>
              </w:rPr>
            </w:pPr>
          </w:p>
        </w:tc>
        <w:tc>
          <w:tcPr>
            <w:tcW w:w="1306" w:type="dxa"/>
          </w:tcPr>
          <w:p w:rsidR="00120F75" w:rsidRDefault="00120F75">
            <w:pPr>
              <w:autoSpaceDE w:val="0"/>
              <w:autoSpaceDN w:val="0"/>
              <w:adjustRightInd w:val="0"/>
              <w:jc w:val="right"/>
              <w:rPr>
                <w:rFonts w:ascii="Calibri" w:hAnsi="Calibri" w:cs="Calibri"/>
                <w:color w:val="000000"/>
                <w:sz w:val="20"/>
                <w:szCs w:val="20"/>
              </w:rPr>
            </w:pPr>
          </w:p>
        </w:tc>
        <w:tc>
          <w:tcPr>
            <w:tcW w:w="1307" w:type="dxa"/>
          </w:tcPr>
          <w:p w:rsidR="00120F75" w:rsidRDefault="00120F75">
            <w:pPr>
              <w:autoSpaceDE w:val="0"/>
              <w:autoSpaceDN w:val="0"/>
              <w:adjustRightInd w:val="0"/>
              <w:jc w:val="right"/>
              <w:rPr>
                <w:rFonts w:ascii="Calibri" w:hAnsi="Calibri" w:cs="Calibri"/>
                <w:color w:val="000000"/>
                <w:sz w:val="20"/>
                <w:szCs w:val="20"/>
              </w:rPr>
            </w:pPr>
          </w:p>
        </w:tc>
        <w:tc>
          <w:tcPr>
            <w:tcW w:w="1237" w:type="dxa"/>
          </w:tcPr>
          <w:p w:rsidR="00120F75" w:rsidRDefault="00120F75">
            <w:pPr>
              <w:autoSpaceDE w:val="0"/>
              <w:autoSpaceDN w:val="0"/>
              <w:adjustRightInd w:val="0"/>
              <w:jc w:val="right"/>
              <w:rPr>
                <w:rFonts w:ascii="Calibri" w:hAnsi="Calibri" w:cs="Calibri"/>
                <w:color w:val="000000"/>
                <w:sz w:val="20"/>
                <w:szCs w:val="20"/>
              </w:rPr>
            </w:pPr>
          </w:p>
        </w:tc>
        <w:tc>
          <w:tcPr>
            <w:tcW w:w="1238" w:type="dxa"/>
          </w:tcPr>
          <w:p w:rsidR="00120F75" w:rsidRDefault="00120F75">
            <w:pPr>
              <w:autoSpaceDE w:val="0"/>
              <w:autoSpaceDN w:val="0"/>
              <w:adjustRightInd w:val="0"/>
              <w:jc w:val="right"/>
              <w:rPr>
                <w:rFonts w:ascii="Calibri" w:hAnsi="Calibri" w:cs="Calibri"/>
                <w:color w:val="000000"/>
                <w:sz w:val="20"/>
                <w:szCs w:val="20"/>
              </w:rPr>
            </w:pPr>
          </w:p>
        </w:tc>
        <w:tc>
          <w:tcPr>
            <w:tcW w:w="1237" w:type="dxa"/>
          </w:tcPr>
          <w:p w:rsidR="00120F75" w:rsidRDefault="00120F75">
            <w:pPr>
              <w:autoSpaceDE w:val="0"/>
              <w:autoSpaceDN w:val="0"/>
              <w:adjustRightInd w:val="0"/>
              <w:jc w:val="right"/>
              <w:rPr>
                <w:rFonts w:ascii="Calibri" w:hAnsi="Calibri" w:cs="Calibri"/>
                <w:color w:val="000000"/>
                <w:sz w:val="20"/>
                <w:szCs w:val="20"/>
              </w:rPr>
            </w:pPr>
          </w:p>
        </w:tc>
        <w:tc>
          <w:tcPr>
            <w:tcW w:w="1238" w:type="dxa"/>
          </w:tcPr>
          <w:p w:rsidR="00120F75" w:rsidRDefault="00120F75">
            <w:pPr>
              <w:autoSpaceDE w:val="0"/>
              <w:autoSpaceDN w:val="0"/>
              <w:adjustRightInd w:val="0"/>
              <w:jc w:val="right"/>
              <w:rPr>
                <w:rFonts w:ascii="Calibri" w:hAnsi="Calibri" w:cs="Calibri"/>
                <w:color w:val="000000"/>
                <w:sz w:val="20"/>
                <w:szCs w:val="20"/>
              </w:rPr>
            </w:pPr>
          </w:p>
        </w:tc>
      </w:tr>
      <w:tr w:rsidR="00120F75" w:rsidRPr="00F84E1D" w:rsidTr="003F1CF9">
        <w:tc>
          <w:tcPr>
            <w:tcW w:w="1995" w:type="dxa"/>
          </w:tcPr>
          <w:p w:rsidR="00120F75" w:rsidRPr="00F84E1D" w:rsidRDefault="00120F75" w:rsidP="003F1CF9">
            <w:pPr>
              <w:autoSpaceDE w:val="0"/>
              <w:autoSpaceDN w:val="0"/>
              <w:adjustRightInd w:val="0"/>
              <w:rPr>
                <w:rFonts w:cs="Calibri"/>
                <w:color w:val="000000"/>
                <w:sz w:val="20"/>
                <w:szCs w:val="20"/>
              </w:rPr>
            </w:pPr>
            <w:r w:rsidRPr="00F84E1D">
              <w:rPr>
                <w:rFonts w:cs="Calibri"/>
                <w:color w:val="000000"/>
                <w:sz w:val="20"/>
                <w:szCs w:val="20"/>
              </w:rPr>
              <w:t>Employment</w:t>
            </w:r>
            <w:r>
              <w:rPr>
                <w:rFonts w:cs="Calibri"/>
                <w:color w:val="000000"/>
                <w:sz w:val="20"/>
                <w:szCs w:val="20"/>
              </w:rPr>
              <w:t xml:space="preserve"> (mil.)</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40.5</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2.7</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-0.1</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-1.1</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-0.3</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Urban</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11.6</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3.9</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0.6</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-0.2</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-0.3</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0.2</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Rural</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28.9</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2.2</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-0.3</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-1.3</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-1.4</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-0.6</w:t>
            </w:r>
          </w:p>
        </w:tc>
      </w:tr>
      <w:tr w:rsidR="00120F75" w:rsidRPr="00F84E1D" w:rsidTr="003F1CF9">
        <w:trPr>
          <w:trHeight w:hRule="exact" w:val="115"/>
        </w:trPr>
        <w:tc>
          <w:tcPr>
            <w:tcW w:w="1995" w:type="dxa"/>
          </w:tcPr>
          <w:p w:rsidR="00120F75" w:rsidRPr="00F84E1D" w:rsidRDefault="00120F75" w:rsidP="00B6702B">
            <w:pPr>
              <w:autoSpaceDE w:val="0"/>
              <w:autoSpaceDN w:val="0"/>
              <w:adjustRightInd w:val="0"/>
              <w:jc w:val="right"/>
              <w:rPr>
                <w:rFonts w:cs="Calibri"/>
                <w:color w:val="000000"/>
                <w:sz w:val="20"/>
                <w:szCs w:val="20"/>
              </w:rPr>
            </w:pPr>
          </w:p>
        </w:tc>
        <w:tc>
          <w:tcPr>
            <w:tcW w:w="1306" w:type="dxa"/>
            <w:tcBorders>
              <w:bottom w:val="nil"/>
            </w:tcBorders>
          </w:tcPr>
          <w:p w:rsidR="00120F75" w:rsidRDefault="00120F75">
            <w:pPr>
              <w:autoSpaceDE w:val="0"/>
              <w:autoSpaceDN w:val="0"/>
              <w:adjustRightInd w:val="0"/>
              <w:jc w:val="right"/>
              <w:rPr>
                <w:rFonts w:ascii="Calibri" w:hAnsi="Calibri" w:cs="Calibri"/>
                <w:color w:val="000000"/>
                <w:sz w:val="20"/>
                <w:szCs w:val="20"/>
              </w:rPr>
            </w:pPr>
          </w:p>
        </w:tc>
        <w:tc>
          <w:tcPr>
            <w:tcW w:w="1307" w:type="dxa"/>
            <w:tcBorders>
              <w:bottom w:val="nil"/>
            </w:tcBorders>
          </w:tcPr>
          <w:p w:rsidR="00120F75" w:rsidRDefault="00120F75">
            <w:pPr>
              <w:autoSpaceDE w:val="0"/>
              <w:autoSpaceDN w:val="0"/>
              <w:adjustRightInd w:val="0"/>
              <w:jc w:val="right"/>
              <w:rPr>
                <w:rFonts w:ascii="Calibri" w:hAnsi="Calibri" w:cs="Calibri"/>
                <w:color w:val="000000"/>
                <w:sz w:val="20"/>
                <w:szCs w:val="20"/>
              </w:rPr>
            </w:pPr>
          </w:p>
        </w:tc>
        <w:tc>
          <w:tcPr>
            <w:tcW w:w="1237" w:type="dxa"/>
            <w:tcBorders>
              <w:bottom w:val="nil"/>
            </w:tcBorders>
          </w:tcPr>
          <w:p w:rsidR="00120F75" w:rsidRDefault="00120F75">
            <w:pPr>
              <w:autoSpaceDE w:val="0"/>
              <w:autoSpaceDN w:val="0"/>
              <w:adjustRightInd w:val="0"/>
              <w:jc w:val="right"/>
              <w:rPr>
                <w:rFonts w:ascii="Calibri" w:hAnsi="Calibri" w:cs="Calibri"/>
                <w:color w:val="000000"/>
                <w:sz w:val="20"/>
                <w:szCs w:val="20"/>
              </w:rPr>
            </w:pPr>
          </w:p>
        </w:tc>
        <w:tc>
          <w:tcPr>
            <w:tcW w:w="1238" w:type="dxa"/>
            <w:tcBorders>
              <w:bottom w:val="nil"/>
            </w:tcBorders>
          </w:tcPr>
          <w:p w:rsidR="00120F75" w:rsidRDefault="00120F75">
            <w:pPr>
              <w:autoSpaceDE w:val="0"/>
              <w:autoSpaceDN w:val="0"/>
              <w:adjustRightInd w:val="0"/>
              <w:jc w:val="right"/>
              <w:rPr>
                <w:rFonts w:ascii="Calibri" w:hAnsi="Calibri" w:cs="Calibri"/>
                <w:color w:val="000000"/>
                <w:sz w:val="20"/>
                <w:szCs w:val="20"/>
              </w:rPr>
            </w:pPr>
          </w:p>
        </w:tc>
        <w:tc>
          <w:tcPr>
            <w:tcW w:w="1237" w:type="dxa"/>
            <w:tcBorders>
              <w:bottom w:val="nil"/>
            </w:tcBorders>
          </w:tcPr>
          <w:p w:rsidR="00120F75" w:rsidRDefault="00120F75">
            <w:pPr>
              <w:autoSpaceDE w:val="0"/>
              <w:autoSpaceDN w:val="0"/>
              <w:adjustRightInd w:val="0"/>
              <w:jc w:val="right"/>
              <w:rPr>
                <w:rFonts w:ascii="Calibri" w:hAnsi="Calibri" w:cs="Calibri"/>
                <w:color w:val="000000"/>
                <w:sz w:val="20"/>
                <w:szCs w:val="20"/>
              </w:rPr>
            </w:pPr>
          </w:p>
        </w:tc>
        <w:tc>
          <w:tcPr>
            <w:tcW w:w="1238" w:type="dxa"/>
            <w:tcBorders>
              <w:bottom w:val="nil"/>
            </w:tcBorders>
          </w:tcPr>
          <w:p w:rsidR="00120F75" w:rsidRDefault="00120F75">
            <w:pPr>
              <w:autoSpaceDE w:val="0"/>
              <w:autoSpaceDN w:val="0"/>
              <w:adjustRightInd w:val="0"/>
              <w:jc w:val="right"/>
              <w:rPr>
                <w:rFonts w:ascii="Calibri" w:hAnsi="Calibri" w:cs="Calibri"/>
                <w:color w:val="000000"/>
                <w:sz w:val="20"/>
                <w:szCs w:val="20"/>
              </w:rPr>
            </w:pP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National poverty</w:t>
            </w:r>
            <w:r>
              <w:rPr>
                <w:rFonts w:cs="Calibri"/>
                <w:color w:val="000000"/>
                <w:sz w:val="20"/>
                <w:szCs w:val="20"/>
              </w:rPr>
              <w:t xml:space="preserve"> (%)</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42.3</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-1.3</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1.0</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3.0</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3.3</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2.3</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Urban</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13.6</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-0.7</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-0.6</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0.5</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0.5</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0.0</w:t>
            </w:r>
          </w:p>
        </w:tc>
      </w:tr>
      <w:tr w:rsidR="00120F75" w:rsidRPr="00F84E1D" w:rsidTr="003F1CF9">
        <w:tc>
          <w:tcPr>
            <w:tcW w:w="1995" w:type="dxa"/>
          </w:tcPr>
          <w:p w:rsidR="00120F75" w:rsidRPr="00F84E1D" w:rsidRDefault="00120F75" w:rsidP="00B6702B">
            <w:pPr>
              <w:autoSpaceDE w:val="0"/>
              <w:autoSpaceDN w:val="0"/>
              <w:adjustRightInd w:val="0"/>
              <w:rPr>
                <w:rFonts w:cs="Calibri"/>
                <w:color w:val="000000"/>
                <w:sz w:val="20"/>
                <w:szCs w:val="20"/>
              </w:rPr>
            </w:pPr>
            <w:r w:rsidRPr="00F84E1D">
              <w:rPr>
                <w:rFonts w:cs="Calibri"/>
                <w:color w:val="000000"/>
                <w:sz w:val="20"/>
                <w:szCs w:val="20"/>
              </w:rPr>
              <w:t xml:space="preserve">   Rural</w:t>
            </w:r>
          </w:p>
        </w:tc>
        <w:tc>
          <w:tcPr>
            <w:tcW w:w="1306"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52.7</w:t>
            </w:r>
          </w:p>
        </w:tc>
        <w:tc>
          <w:tcPr>
            <w:tcW w:w="130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-1.5</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1.6</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3.9</w:t>
            </w:r>
          </w:p>
        </w:tc>
        <w:tc>
          <w:tcPr>
            <w:tcW w:w="1237"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4.3</w:t>
            </w:r>
          </w:p>
        </w:tc>
        <w:tc>
          <w:tcPr>
            <w:tcW w:w="1238" w:type="dxa"/>
          </w:tcPr>
          <w:p w:rsidR="00120F75" w:rsidRDefault="00120F75">
            <w:pPr>
              <w:autoSpaceDE w:val="0"/>
              <w:autoSpaceDN w:val="0"/>
              <w:adjustRightInd w:val="0"/>
              <w:jc w:val="right"/>
              <w:rPr>
                <w:rFonts w:ascii="Calibri" w:hAnsi="Calibri" w:cs="Calibri"/>
                <w:color w:val="000000"/>
                <w:sz w:val="20"/>
                <w:szCs w:val="20"/>
              </w:rPr>
            </w:pPr>
            <w:r>
              <w:rPr>
                <w:rFonts w:ascii="Calibri" w:hAnsi="Calibri" w:cs="Calibri"/>
                <w:color w:val="000000"/>
                <w:sz w:val="20"/>
                <w:szCs w:val="20"/>
              </w:rPr>
              <w:t>3.2</w:t>
            </w:r>
          </w:p>
        </w:tc>
      </w:tr>
      <w:tr w:rsidR="003F1CF9" w:rsidRPr="00F84E1D" w:rsidTr="003F1CF9">
        <w:trPr>
          <w:trHeight w:hRule="exact" w:val="115"/>
        </w:trPr>
        <w:tc>
          <w:tcPr>
            <w:tcW w:w="1995" w:type="dxa"/>
          </w:tcPr>
          <w:p w:rsidR="003F1CF9" w:rsidRPr="00F84E1D" w:rsidRDefault="003F1CF9" w:rsidP="00B6702B">
            <w:pPr>
              <w:rPr>
                <w:sz w:val="20"/>
                <w:szCs w:val="20"/>
              </w:rPr>
            </w:pPr>
          </w:p>
        </w:tc>
        <w:tc>
          <w:tcPr>
            <w:tcW w:w="1306" w:type="dxa"/>
          </w:tcPr>
          <w:p w:rsidR="003F1CF9" w:rsidRPr="00F84E1D" w:rsidRDefault="003F1CF9" w:rsidP="00B6702B">
            <w:pPr>
              <w:rPr>
                <w:sz w:val="20"/>
                <w:szCs w:val="20"/>
              </w:rPr>
            </w:pPr>
          </w:p>
        </w:tc>
        <w:tc>
          <w:tcPr>
            <w:tcW w:w="1307" w:type="dxa"/>
          </w:tcPr>
          <w:p w:rsidR="003F1CF9" w:rsidRPr="00F84E1D" w:rsidRDefault="003F1CF9" w:rsidP="00B6702B">
            <w:pPr>
              <w:rPr>
                <w:sz w:val="20"/>
                <w:szCs w:val="20"/>
              </w:rPr>
            </w:pPr>
          </w:p>
        </w:tc>
        <w:tc>
          <w:tcPr>
            <w:tcW w:w="1237" w:type="dxa"/>
          </w:tcPr>
          <w:p w:rsidR="003F1CF9" w:rsidRPr="00F84E1D" w:rsidRDefault="003F1CF9" w:rsidP="00B6702B">
            <w:pPr>
              <w:rPr>
                <w:sz w:val="20"/>
                <w:szCs w:val="20"/>
              </w:rPr>
            </w:pPr>
          </w:p>
        </w:tc>
        <w:tc>
          <w:tcPr>
            <w:tcW w:w="1238" w:type="dxa"/>
          </w:tcPr>
          <w:p w:rsidR="003F1CF9" w:rsidRPr="00F84E1D" w:rsidRDefault="003F1CF9" w:rsidP="00B6702B">
            <w:pPr>
              <w:rPr>
                <w:sz w:val="20"/>
                <w:szCs w:val="20"/>
              </w:rPr>
            </w:pPr>
          </w:p>
        </w:tc>
        <w:tc>
          <w:tcPr>
            <w:tcW w:w="1237" w:type="dxa"/>
          </w:tcPr>
          <w:p w:rsidR="003F1CF9" w:rsidRPr="00F84E1D" w:rsidRDefault="003F1CF9" w:rsidP="00B6702B">
            <w:pPr>
              <w:rPr>
                <w:sz w:val="20"/>
                <w:szCs w:val="20"/>
              </w:rPr>
            </w:pPr>
          </w:p>
        </w:tc>
        <w:tc>
          <w:tcPr>
            <w:tcW w:w="1238" w:type="dxa"/>
          </w:tcPr>
          <w:p w:rsidR="003F1CF9" w:rsidRPr="00F84E1D" w:rsidRDefault="003F1CF9" w:rsidP="00B6702B">
            <w:pPr>
              <w:rPr>
                <w:sz w:val="20"/>
                <w:szCs w:val="20"/>
              </w:rPr>
            </w:pPr>
          </w:p>
        </w:tc>
      </w:tr>
    </w:tbl>
    <w:p w:rsidR="003F1CF9" w:rsidRDefault="003F1CF9" w:rsidP="003F1CF9">
      <w:pPr>
        <w:spacing w:after="0" w:line="240" w:lineRule="auto"/>
        <w:rPr>
          <w:sz w:val="20"/>
        </w:rPr>
      </w:pPr>
      <w:r>
        <w:rPr>
          <w:sz w:val="20"/>
        </w:rPr>
        <w:t xml:space="preserve">Source: </w:t>
      </w:r>
      <w:r>
        <w:rPr>
          <w:sz w:val="20"/>
        </w:rPr>
        <w:tab/>
        <w:t xml:space="preserve">Results from the Vietnam DCGE and micro-simulation model. </w:t>
      </w:r>
    </w:p>
    <w:p w:rsidR="00F12B31" w:rsidRDefault="003F1CF9" w:rsidP="00F12B31">
      <w:pPr>
        <w:spacing w:after="0" w:line="240" w:lineRule="auto"/>
        <w:ind w:left="720" w:hanging="720"/>
        <w:rPr>
          <w:sz w:val="20"/>
        </w:rPr>
      </w:pPr>
      <w:r>
        <w:rPr>
          <w:sz w:val="20"/>
        </w:rPr>
        <w:t>Note</w:t>
      </w:r>
      <w:r w:rsidR="00F12B31">
        <w:rPr>
          <w:sz w:val="20"/>
        </w:rPr>
        <w:t>s</w:t>
      </w:r>
      <w:r>
        <w:rPr>
          <w:sz w:val="20"/>
        </w:rPr>
        <w:t>:</w:t>
      </w:r>
      <w:r>
        <w:rPr>
          <w:sz w:val="20"/>
        </w:rPr>
        <w:tab/>
      </w:r>
      <w:r w:rsidR="00F12B31">
        <w:rPr>
          <w:sz w:val="20"/>
        </w:rPr>
        <w:t>The first column of num</w:t>
      </w:r>
      <w:r w:rsidR="004D4D33">
        <w:rPr>
          <w:sz w:val="20"/>
        </w:rPr>
        <w:t>bers is similar to the first column of Table 6 but is based on simulation results from the food and fuel crisis scenario in 2008. F</w:t>
      </w:r>
      <w:r w:rsidR="00F12B31">
        <w:rPr>
          <w:sz w:val="20"/>
        </w:rPr>
        <w:t xml:space="preserve">rom the top, </w:t>
      </w:r>
      <w:r w:rsidR="004D4D33">
        <w:rPr>
          <w:sz w:val="20"/>
        </w:rPr>
        <w:t>the column contains shares of GDP</w:t>
      </w:r>
      <w:r w:rsidR="00F12B31">
        <w:rPr>
          <w:sz w:val="20"/>
        </w:rPr>
        <w:t xml:space="preserve">, </w:t>
      </w:r>
      <w:r w:rsidR="004D4D33">
        <w:rPr>
          <w:sz w:val="20"/>
        </w:rPr>
        <w:t>re</w:t>
      </w:r>
      <w:r w:rsidR="00F12B31">
        <w:rPr>
          <w:sz w:val="20"/>
        </w:rPr>
        <w:t>initial</w:t>
      </w:r>
      <w:r w:rsidR="004D4D33">
        <w:rPr>
          <w:sz w:val="20"/>
        </w:rPr>
        <w:t>ized</w:t>
      </w:r>
      <w:r w:rsidR="00F12B31">
        <w:rPr>
          <w:sz w:val="20"/>
        </w:rPr>
        <w:t xml:space="preserve"> price index levels</w:t>
      </w:r>
      <w:r w:rsidR="004D4D33">
        <w:rPr>
          <w:sz w:val="20"/>
        </w:rPr>
        <w:t xml:space="preserve">, </w:t>
      </w:r>
      <w:r w:rsidR="00F12B31">
        <w:rPr>
          <w:sz w:val="20"/>
        </w:rPr>
        <w:t xml:space="preserve">shares of GDP at factor, employment in millions, and the poverty rate. The poverty rate is based on a USD 2 per day poverty line calculated using 2006 VHLSS (GSO, 2007). </w:t>
      </w:r>
    </w:p>
    <w:p w:rsidR="003F1CF9" w:rsidRDefault="003F1CF9" w:rsidP="00F12B31">
      <w:pPr>
        <w:spacing w:after="0" w:line="240" w:lineRule="auto"/>
        <w:ind w:left="720" w:hanging="720"/>
      </w:pPr>
    </w:p>
    <w:sectPr w:rsidR="003F1CF9" w:rsidSect="006578CD">
      <w:footerReference w:type="default" r:id="rId12"/>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084F" w:rsidRDefault="0003084F" w:rsidP="00B56294">
      <w:pPr>
        <w:spacing w:after="0" w:line="240" w:lineRule="auto"/>
      </w:pPr>
      <w:r>
        <w:separator/>
      </w:r>
    </w:p>
  </w:endnote>
  <w:endnote w:type="continuationSeparator" w:id="0">
    <w:p w:rsidR="0003084F" w:rsidRDefault="0003084F" w:rsidP="00B562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724891"/>
      <w:docPartObj>
        <w:docPartGallery w:val="Page Numbers (Bottom of Page)"/>
        <w:docPartUnique/>
      </w:docPartObj>
    </w:sdtPr>
    <w:sdtContent>
      <w:p w:rsidR="0003084F" w:rsidRDefault="0003084F">
        <w:pPr>
          <w:pStyle w:val="Footer"/>
          <w:jc w:val="center"/>
        </w:pPr>
        <w:fldSimple w:instr=" PAGE   \* MERGEFORMAT ">
          <w:r w:rsidR="00C1018B">
            <w:rPr>
              <w:noProof/>
            </w:rPr>
            <w:t>14</w:t>
          </w:r>
        </w:fldSimple>
      </w:p>
    </w:sdtContent>
  </w:sdt>
  <w:p w:rsidR="0003084F" w:rsidRDefault="000308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084F" w:rsidRDefault="0003084F" w:rsidP="00B56294">
      <w:pPr>
        <w:spacing w:after="0" w:line="240" w:lineRule="auto"/>
      </w:pPr>
      <w:r>
        <w:separator/>
      </w:r>
    </w:p>
  </w:footnote>
  <w:footnote w:type="continuationSeparator" w:id="0">
    <w:p w:rsidR="0003084F" w:rsidRDefault="0003084F" w:rsidP="00B56294">
      <w:pPr>
        <w:spacing w:after="0" w:line="240" w:lineRule="auto"/>
      </w:pPr>
      <w:r>
        <w:continuationSeparator/>
      </w:r>
    </w:p>
  </w:footnote>
  <w:footnote w:id="1">
    <w:p w:rsidR="0003084F" w:rsidRDefault="0003084F" w:rsidP="002A023D">
      <w:pPr>
        <w:pStyle w:val="FootnoteText"/>
        <w:jc w:val="both"/>
      </w:pPr>
      <w:r>
        <w:rPr>
          <w:rStyle w:val="FootnoteReference"/>
        </w:rPr>
        <w:footnoteRef/>
      </w:r>
      <w:r>
        <w:t xml:space="preserve"> Adjusting for purchasing power, per capita GDP in 2006 was US$2363 (World Bank, 2009). </w:t>
      </w:r>
    </w:p>
  </w:footnote>
  <w:footnote w:id="2">
    <w:p w:rsidR="0003084F" w:rsidRDefault="0003084F" w:rsidP="002A023D">
      <w:pPr>
        <w:pStyle w:val="FootnoteText"/>
        <w:jc w:val="both"/>
      </w:pPr>
      <w:r>
        <w:rPr>
          <w:rStyle w:val="FootnoteReference"/>
        </w:rPr>
        <w:footnoteRef/>
      </w:r>
      <w:r>
        <w:t xml:space="preserve"> The number of tourists visiting Vietnam fell by 20% in 2009 from 2 million in 2008 (GSO, 2009b).</w:t>
      </w:r>
    </w:p>
  </w:footnote>
  <w:footnote w:id="3">
    <w:p w:rsidR="0003084F" w:rsidRDefault="0003084F" w:rsidP="002A023D">
      <w:pPr>
        <w:pStyle w:val="FootnoteText"/>
        <w:jc w:val="both"/>
      </w:pPr>
      <w:r>
        <w:rPr>
          <w:rStyle w:val="FootnoteReference"/>
        </w:rPr>
        <w:footnoteRef/>
      </w:r>
      <w:r>
        <w:t xml:space="preserve"> Wage </w:t>
      </w:r>
      <w:proofErr w:type="spellStart"/>
      <w:r>
        <w:t>elasticities</w:t>
      </w:r>
      <w:proofErr w:type="spellEnd"/>
      <w:r>
        <w:t xml:space="preserve"> are set at 0.30 for lower-educated labor groups and 0.15 for higher-educated labor. This reflects greater underemployment in rural areas where education levels are lower. </w:t>
      </w:r>
    </w:p>
  </w:footnote>
  <w:footnote w:id="4">
    <w:p w:rsidR="0003084F" w:rsidRDefault="0003084F" w:rsidP="002A023D">
      <w:pPr>
        <w:pStyle w:val="FootnoteText"/>
        <w:jc w:val="both"/>
      </w:pPr>
      <w:r>
        <w:rPr>
          <w:rStyle w:val="FootnoteReference"/>
        </w:rPr>
        <w:footnoteRef/>
      </w:r>
      <w:r>
        <w:t xml:space="preserve"> Income </w:t>
      </w:r>
      <w:proofErr w:type="spellStart"/>
      <w:r>
        <w:t>elasticities</w:t>
      </w:r>
      <w:proofErr w:type="spellEnd"/>
      <w:r>
        <w:t xml:space="preserve"> were estimated by Bingxin Yu (IFPRI) using the 2006 VHLSS.</w:t>
      </w:r>
    </w:p>
  </w:footnote>
  <w:footnote w:id="5">
    <w:p w:rsidR="0003084F" w:rsidRDefault="0003084F">
      <w:pPr>
        <w:pStyle w:val="FootnoteText"/>
      </w:pPr>
      <w:r>
        <w:rPr>
          <w:rStyle w:val="FootnoteReference"/>
        </w:rPr>
        <w:footnoteRef/>
      </w:r>
      <w:r>
        <w:t xml:space="preserve"> This is modeled as an increase in </w:t>
      </w:r>
      <w:r w:rsidRPr="00FF7C01">
        <w:rPr>
          <w:i/>
        </w:rPr>
        <w:t>b</w:t>
      </w:r>
      <w:r>
        <w:t xml:space="preserve"> in eq.[8] in Table 5.</w:t>
      </w:r>
    </w:p>
  </w:footnote>
  <w:footnote w:id="6">
    <w:p w:rsidR="0003084F" w:rsidRDefault="0003084F" w:rsidP="002A023D">
      <w:pPr>
        <w:pStyle w:val="FootnoteText"/>
        <w:jc w:val="both"/>
      </w:pPr>
      <w:r>
        <w:rPr>
          <w:rStyle w:val="FootnoteReference"/>
        </w:rPr>
        <w:footnoteRef/>
      </w:r>
      <w:r>
        <w:t xml:space="preserve"> T</w:t>
      </w:r>
      <w:r w:rsidRPr="00E92202">
        <w:t xml:space="preserve">his </w:t>
      </w:r>
      <w:r>
        <w:t xml:space="preserve">implies </w:t>
      </w:r>
      <w:r w:rsidRPr="00E92202">
        <w:t>a spending-to-</w:t>
      </w:r>
      <w:r>
        <w:t>productivity</w:t>
      </w:r>
      <w:r w:rsidRPr="00E92202">
        <w:t>-growth elasticity of 0.</w:t>
      </w:r>
      <w:r>
        <w:t xml:space="preserve">05 since natural resource value-added is half of agricultural GDP and 5 percent of the state budget is allocated to agriculture (i.e., 0.03 / 0.05 / 0.5 x 0.05 = 0.06). This elasticity is below the econometrically estimated returns to irrigation (0.11), rural roads (0.07) and agricultural research and extension (0.06) (Fan et al., 2004) but reflects possible delays in the returns to investments. </w:t>
      </w:r>
    </w:p>
  </w:footnote>
  <w:footnote w:id="7">
    <w:p w:rsidR="0003084F" w:rsidRDefault="0003084F" w:rsidP="00D333E3">
      <w:pPr>
        <w:pStyle w:val="FootnoteText"/>
        <w:jc w:val="both"/>
      </w:pPr>
      <w:r>
        <w:rPr>
          <w:rStyle w:val="FootnoteReference"/>
        </w:rPr>
        <w:footnoteRef/>
      </w:r>
      <w:r>
        <w:t xml:space="preserve"> The poverty headcount rate is the share of the population living below the US$2-a-day poverty line.</w:t>
      </w:r>
    </w:p>
  </w:footnote>
  <w:footnote w:id="8">
    <w:p w:rsidR="0003084F" w:rsidRPr="00DE3902" w:rsidRDefault="0003084F" w:rsidP="00DE3902">
      <w:pPr>
        <w:spacing w:after="120"/>
        <w:jc w:val="both"/>
        <w:rPr>
          <w:sz w:val="20"/>
          <w:szCs w:val="20"/>
        </w:rPr>
      </w:pPr>
      <w:r>
        <w:rPr>
          <w:rStyle w:val="FootnoteReference"/>
        </w:rPr>
        <w:footnoteRef/>
      </w:r>
      <w:r>
        <w:t xml:space="preserve"> </w:t>
      </w:r>
      <w:r>
        <w:rPr>
          <w:sz w:val="20"/>
          <w:szCs w:val="20"/>
        </w:rPr>
        <w:t xml:space="preserve">Note that </w:t>
      </w:r>
      <w:r w:rsidRPr="00DE3902">
        <w:rPr>
          <w:sz w:val="20"/>
          <w:szCs w:val="20"/>
        </w:rPr>
        <w:t xml:space="preserve">our analysis </w:t>
      </w:r>
      <w:r>
        <w:rPr>
          <w:sz w:val="20"/>
          <w:szCs w:val="20"/>
        </w:rPr>
        <w:t>does</w:t>
      </w:r>
      <w:r w:rsidRPr="00DE3902">
        <w:rPr>
          <w:sz w:val="20"/>
          <w:szCs w:val="20"/>
        </w:rPr>
        <w:t xml:space="preserve"> not consider the long-term implications of expanding the fiscal deficit and long-term debt position. </w:t>
      </w:r>
    </w:p>
    <w:p w:rsidR="0003084F" w:rsidRDefault="0003084F">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56FF9"/>
    <w:multiLevelType w:val="hybridMultilevel"/>
    <w:tmpl w:val="E10AF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425BDA"/>
    <w:multiLevelType w:val="hybridMultilevel"/>
    <w:tmpl w:val="2C227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6458F6"/>
    <w:multiLevelType w:val="hybridMultilevel"/>
    <w:tmpl w:val="33A24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DF0CB2"/>
    <w:multiLevelType w:val="hybridMultilevel"/>
    <w:tmpl w:val="6B82B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0F7889"/>
    <w:multiLevelType w:val="hybridMultilevel"/>
    <w:tmpl w:val="FFB8F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9B2B48"/>
    <w:multiLevelType w:val="hybridMultilevel"/>
    <w:tmpl w:val="492C7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6D322D"/>
    <w:multiLevelType w:val="hybridMultilevel"/>
    <w:tmpl w:val="19A67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F34D41"/>
    <w:multiLevelType w:val="hybridMultilevel"/>
    <w:tmpl w:val="FAE6D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D67325"/>
    <w:multiLevelType w:val="hybridMultilevel"/>
    <w:tmpl w:val="61F44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FF1629"/>
    <w:multiLevelType w:val="hybridMultilevel"/>
    <w:tmpl w:val="BD62D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1E4D55"/>
    <w:multiLevelType w:val="hybridMultilevel"/>
    <w:tmpl w:val="DA6AC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0"/>
  </w:num>
  <w:num w:numId="4">
    <w:abstractNumId w:val="7"/>
  </w:num>
  <w:num w:numId="5">
    <w:abstractNumId w:val="1"/>
  </w:num>
  <w:num w:numId="6">
    <w:abstractNumId w:val="2"/>
  </w:num>
  <w:num w:numId="7">
    <w:abstractNumId w:val="8"/>
  </w:num>
  <w:num w:numId="8">
    <w:abstractNumId w:val="10"/>
  </w:num>
  <w:num w:numId="9">
    <w:abstractNumId w:val="4"/>
  </w:num>
  <w:num w:numId="10">
    <w:abstractNumId w:val="6"/>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defaultTabStop w:val="720"/>
  <w:hyphenationZone w:val="425"/>
  <w:characterSpacingControl w:val="doNotCompress"/>
  <w:footnotePr>
    <w:footnote w:id="-1"/>
    <w:footnote w:id="0"/>
  </w:footnotePr>
  <w:endnotePr>
    <w:endnote w:id="-1"/>
    <w:endnote w:id="0"/>
  </w:endnotePr>
  <w:compat/>
  <w:rsids>
    <w:rsidRoot w:val="00FE110C"/>
    <w:rsid w:val="0000021B"/>
    <w:rsid w:val="0000058B"/>
    <w:rsid w:val="0000097E"/>
    <w:rsid w:val="00000AF6"/>
    <w:rsid w:val="00000E72"/>
    <w:rsid w:val="00000F3F"/>
    <w:rsid w:val="00001617"/>
    <w:rsid w:val="000026C8"/>
    <w:rsid w:val="00002C28"/>
    <w:rsid w:val="0000448A"/>
    <w:rsid w:val="00006943"/>
    <w:rsid w:val="00007082"/>
    <w:rsid w:val="000076E9"/>
    <w:rsid w:val="00007D39"/>
    <w:rsid w:val="00010408"/>
    <w:rsid w:val="00010E54"/>
    <w:rsid w:val="000115BA"/>
    <w:rsid w:val="00011B95"/>
    <w:rsid w:val="00012155"/>
    <w:rsid w:val="000121EA"/>
    <w:rsid w:val="00012823"/>
    <w:rsid w:val="00012C8A"/>
    <w:rsid w:val="00013A37"/>
    <w:rsid w:val="00014791"/>
    <w:rsid w:val="0001491B"/>
    <w:rsid w:val="00014FD3"/>
    <w:rsid w:val="00016C1B"/>
    <w:rsid w:val="00017F2F"/>
    <w:rsid w:val="00020711"/>
    <w:rsid w:val="00021F13"/>
    <w:rsid w:val="00022103"/>
    <w:rsid w:val="000224C8"/>
    <w:rsid w:val="00023C06"/>
    <w:rsid w:val="000242C4"/>
    <w:rsid w:val="000259DE"/>
    <w:rsid w:val="00026F31"/>
    <w:rsid w:val="0003084F"/>
    <w:rsid w:val="00030CB9"/>
    <w:rsid w:val="000312FB"/>
    <w:rsid w:val="0003186B"/>
    <w:rsid w:val="00031EB9"/>
    <w:rsid w:val="00032640"/>
    <w:rsid w:val="000335CB"/>
    <w:rsid w:val="000338AC"/>
    <w:rsid w:val="0003399B"/>
    <w:rsid w:val="00034543"/>
    <w:rsid w:val="0003457C"/>
    <w:rsid w:val="0003487B"/>
    <w:rsid w:val="000349F4"/>
    <w:rsid w:val="00034C59"/>
    <w:rsid w:val="00035482"/>
    <w:rsid w:val="000358FD"/>
    <w:rsid w:val="00035FFE"/>
    <w:rsid w:val="00037521"/>
    <w:rsid w:val="00037DE4"/>
    <w:rsid w:val="00040596"/>
    <w:rsid w:val="000406EA"/>
    <w:rsid w:val="000413FF"/>
    <w:rsid w:val="0004246B"/>
    <w:rsid w:val="000448F6"/>
    <w:rsid w:val="00044CB5"/>
    <w:rsid w:val="00046312"/>
    <w:rsid w:val="000471AD"/>
    <w:rsid w:val="000473FC"/>
    <w:rsid w:val="00047443"/>
    <w:rsid w:val="0004789B"/>
    <w:rsid w:val="00047C73"/>
    <w:rsid w:val="000512D3"/>
    <w:rsid w:val="00052597"/>
    <w:rsid w:val="00052C9C"/>
    <w:rsid w:val="00053177"/>
    <w:rsid w:val="000537E1"/>
    <w:rsid w:val="000538E6"/>
    <w:rsid w:val="000547FB"/>
    <w:rsid w:val="0005553A"/>
    <w:rsid w:val="0005664E"/>
    <w:rsid w:val="00056A17"/>
    <w:rsid w:val="00056ED5"/>
    <w:rsid w:val="00057463"/>
    <w:rsid w:val="000575B9"/>
    <w:rsid w:val="00057773"/>
    <w:rsid w:val="00060268"/>
    <w:rsid w:val="000628F3"/>
    <w:rsid w:val="00062AE1"/>
    <w:rsid w:val="000631BE"/>
    <w:rsid w:val="00063541"/>
    <w:rsid w:val="000637D6"/>
    <w:rsid w:val="00063829"/>
    <w:rsid w:val="000639FB"/>
    <w:rsid w:val="00063B67"/>
    <w:rsid w:val="00063C3B"/>
    <w:rsid w:val="00063C90"/>
    <w:rsid w:val="00063E1D"/>
    <w:rsid w:val="00064407"/>
    <w:rsid w:val="0006472C"/>
    <w:rsid w:val="0006478F"/>
    <w:rsid w:val="00064F8D"/>
    <w:rsid w:val="00065019"/>
    <w:rsid w:val="00065162"/>
    <w:rsid w:val="0006574B"/>
    <w:rsid w:val="0006626D"/>
    <w:rsid w:val="00066C38"/>
    <w:rsid w:val="00066E26"/>
    <w:rsid w:val="000679CD"/>
    <w:rsid w:val="00072987"/>
    <w:rsid w:val="0007307C"/>
    <w:rsid w:val="0007489E"/>
    <w:rsid w:val="00074913"/>
    <w:rsid w:val="00074D42"/>
    <w:rsid w:val="000758E6"/>
    <w:rsid w:val="000760BC"/>
    <w:rsid w:val="00076779"/>
    <w:rsid w:val="000769B9"/>
    <w:rsid w:val="000769DC"/>
    <w:rsid w:val="00077090"/>
    <w:rsid w:val="000773CA"/>
    <w:rsid w:val="000800A9"/>
    <w:rsid w:val="0008236F"/>
    <w:rsid w:val="000831E6"/>
    <w:rsid w:val="0008367C"/>
    <w:rsid w:val="00083C4A"/>
    <w:rsid w:val="00086A1F"/>
    <w:rsid w:val="00087069"/>
    <w:rsid w:val="00087195"/>
    <w:rsid w:val="00087D75"/>
    <w:rsid w:val="00090030"/>
    <w:rsid w:val="0009036A"/>
    <w:rsid w:val="00090B1F"/>
    <w:rsid w:val="00091437"/>
    <w:rsid w:val="000915C7"/>
    <w:rsid w:val="00092865"/>
    <w:rsid w:val="00092C0D"/>
    <w:rsid w:val="00093276"/>
    <w:rsid w:val="000938FC"/>
    <w:rsid w:val="0009403B"/>
    <w:rsid w:val="00094789"/>
    <w:rsid w:val="00094B6D"/>
    <w:rsid w:val="00095034"/>
    <w:rsid w:val="000958E2"/>
    <w:rsid w:val="00095ADD"/>
    <w:rsid w:val="00096BB2"/>
    <w:rsid w:val="00096C1E"/>
    <w:rsid w:val="000A035F"/>
    <w:rsid w:val="000A0B9A"/>
    <w:rsid w:val="000A1BE5"/>
    <w:rsid w:val="000A2E9F"/>
    <w:rsid w:val="000A3C01"/>
    <w:rsid w:val="000A3E89"/>
    <w:rsid w:val="000A434B"/>
    <w:rsid w:val="000A57B0"/>
    <w:rsid w:val="000A7822"/>
    <w:rsid w:val="000A7E68"/>
    <w:rsid w:val="000B14E9"/>
    <w:rsid w:val="000B17F7"/>
    <w:rsid w:val="000B38B4"/>
    <w:rsid w:val="000B4300"/>
    <w:rsid w:val="000B5F95"/>
    <w:rsid w:val="000B75A1"/>
    <w:rsid w:val="000B7CAC"/>
    <w:rsid w:val="000B7E44"/>
    <w:rsid w:val="000C08D8"/>
    <w:rsid w:val="000C0DCD"/>
    <w:rsid w:val="000C17EA"/>
    <w:rsid w:val="000C19AC"/>
    <w:rsid w:val="000C21F0"/>
    <w:rsid w:val="000C32DC"/>
    <w:rsid w:val="000C357A"/>
    <w:rsid w:val="000C3EF9"/>
    <w:rsid w:val="000C501A"/>
    <w:rsid w:val="000C5D1F"/>
    <w:rsid w:val="000C5F82"/>
    <w:rsid w:val="000C666B"/>
    <w:rsid w:val="000C6DC2"/>
    <w:rsid w:val="000C751D"/>
    <w:rsid w:val="000C7535"/>
    <w:rsid w:val="000D1856"/>
    <w:rsid w:val="000D229B"/>
    <w:rsid w:val="000D23E1"/>
    <w:rsid w:val="000D3007"/>
    <w:rsid w:val="000D42E0"/>
    <w:rsid w:val="000D4393"/>
    <w:rsid w:val="000D6E80"/>
    <w:rsid w:val="000D760D"/>
    <w:rsid w:val="000E06CF"/>
    <w:rsid w:val="000E1538"/>
    <w:rsid w:val="000E1659"/>
    <w:rsid w:val="000E17BA"/>
    <w:rsid w:val="000E35FF"/>
    <w:rsid w:val="000E456C"/>
    <w:rsid w:val="000E463A"/>
    <w:rsid w:val="000E6FE6"/>
    <w:rsid w:val="000F16AF"/>
    <w:rsid w:val="000F1C94"/>
    <w:rsid w:val="000F1D55"/>
    <w:rsid w:val="000F2198"/>
    <w:rsid w:val="000F2345"/>
    <w:rsid w:val="000F24F4"/>
    <w:rsid w:val="000F27A9"/>
    <w:rsid w:val="000F2E6A"/>
    <w:rsid w:val="000F3404"/>
    <w:rsid w:val="000F414D"/>
    <w:rsid w:val="000F4F1A"/>
    <w:rsid w:val="000F5515"/>
    <w:rsid w:val="000F645A"/>
    <w:rsid w:val="000F67B2"/>
    <w:rsid w:val="000F67D2"/>
    <w:rsid w:val="000F6A89"/>
    <w:rsid w:val="000F78F5"/>
    <w:rsid w:val="000F7A5B"/>
    <w:rsid w:val="000F7F01"/>
    <w:rsid w:val="00100299"/>
    <w:rsid w:val="00100BE7"/>
    <w:rsid w:val="00101DFA"/>
    <w:rsid w:val="00102C91"/>
    <w:rsid w:val="001038C9"/>
    <w:rsid w:val="00104036"/>
    <w:rsid w:val="00105447"/>
    <w:rsid w:val="00106CF7"/>
    <w:rsid w:val="00106EE4"/>
    <w:rsid w:val="00106F86"/>
    <w:rsid w:val="00107E50"/>
    <w:rsid w:val="00110631"/>
    <w:rsid w:val="00110A52"/>
    <w:rsid w:val="00110BBD"/>
    <w:rsid w:val="00110BCD"/>
    <w:rsid w:val="001110FD"/>
    <w:rsid w:val="0011219C"/>
    <w:rsid w:val="00112821"/>
    <w:rsid w:val="00114244"/>
    <w:rsid w:val="001145BE"/>
    <w:rsid w:val="0011496A"/>
    <w:rsid w:val="00114C2A"/>
    <w:rsid w:val="0011759B"/>
    <w:rsid w:val="0011774B"/>
    <w:rsid w:val="00117DC6"/>
    <w:rsid w:val="00120F75"/>
    <w:rsid w:val="00121289"/>
    <w:rsid w:val="00122D9C"/>
    <w:rsid w:val="00122E44"/>
    <w:rsid w:val="0012320A"/>
    <w:rsid w:val="001232DF"/>
    <w:rsid w:val="00123DBF"/>
    <w:rsid w:val="00125132"/>
    <w:rsid w:val="001256F9"/>
    <w:rsid w:val="0012570D"/>
    <w:rsid w:val="00125B78"/>
    <w:rsid w:val="00125B83"/>
    <w:rsid w:val="00125C0D"/>
    <w:rsid w:val="00126CB8"/>
    <w:rsid w:val="00127562"/>
    <w:rsid w:val="00130466"/>
    <w:rsid w:val="0013193A"/>
    <w:rsid w:val="001329A7"/>
    <w:rsid w:val="00133429"/>
    <w:rsid w:val="00133B2A"/>
    <w:rsid w:val="00134D0C"/>
    <w:rsid w:val="001362AA"/>
    <w:rsid w:val="001363B0"/>
    <w:rsid w:val="00136649"/>
    <w:rsid w:val="00136A42"/>
    <w:rsid w:val="00136F3C"/>
    <w:rsid w:val="001376D2"/>
    <w:rsid w:val="00137B92"/>
    <w:rsid w:val="0014023C"/>
    <w:rsid w:val="001402DF"/>
    <w:rsid w:val="0014064B"/>
    <w:rsid w:val="00140727"/>
    <w:rsid w:val="00140948"/>
    <w:rsid w:val="00140C88"/>
    <w:rsid w:val="001417CD"/>
    <w:rsid w:val="00141DB4"/>
    <w:rsid w:val="00142207"/>
    <w:rsid w:val="001429CA"/>
    <w:rsid w:val="001438B3"/>
    <w:rsid w:val="00143ABA"/>
    <w:rsid w:val="0014447F"/>
    <w:rsid w:val="001461C7"/>
    <w:rsid w:val="001464CE"/>
    <w:rsid w:val="00146E1B"/>
    <w:rsid w:val="0014723C"/>
    <w:rsid w:val="00147684"/>
    <w:rsid w:val="00150362"/>
    <w:rsid w:val="00150CB0"/>
    <w:rsid w:val="00150CD5"/>
    <w:rsid w:val="00151385"/>
    <w:rsid w:val="00152597"/>
    <w:rsid w:val="00152963"/>
    <w:rsid w:val="00153405"/>
    <w:rsid w:val="00154C3B"/>
    <w:rsid w:val="0015541D"/>
    <w:rsid w:val="00156081"/>
    <w:rsid w:val="00156C17"/>
    <w:rsid w:val="001604A7"/>
    <w:rsid w:val="0016066B"/>
    <w:rsid w:val="00161BED"/>
    <w:rsid w:val="00161CE0"/>
    <w:rsid w:val="00162319"/>
    <w:rsid w:val="00162782"/>
    <w:rsid w:val="00162FCE"/>
    <w:rsid w:val="00163EF2"/>
    <w:rsid w:val="00164CD6"/>
    <w:rsid w:val="00164CFD"/>
    <w:rsid w:val="00165E29"/>
    <w:rsid w:val="00167048"/>
    <w:rsid w:val="0016751D"/>
    <w:rsid w:val="00167875"/>
    <w:rsid w:val="00170033"/>
    <w:rsid w:val="001702AB"/>
    <w:rsid w:val="0017035C"/>
    <w:rsid w:val="0017046C"/>
    <w:rsid w:val="00171038"/>
    <w:rsid w:val="001733CE"/>
    <w:rsid w:val="00173B78"/>
    <w:rsid w:val="00174219"/>
    <w:rsid w:val="001746A9"/>
    <w:rsid w:val="00174BC4"/>
    <w:rsid w:val="00175B67"/>
    <w:rsid w:val="00175EC4"/>
    <w:rsid w:val="001764E8"/>
    <w:rsid w:val="00176FA3"/>
    <w:rsid w:val="00177094"/>
    <w:rsid w:val="0017727F"/>
    <w:rsid w:val="0018041E"/>
    <w:rsid w:val="001808D0"/>
    <w:rsid w:val="001808D4"/>
    <w:rsid w:val="00180E5E"/>
    <w:rsid w:val="0018228C"/>
    <w:rsid w:val="001829F3"/>
    <w:rsid w:val="001830D1"/>
    <w:rsid w:val="00184A29"/>
    <w:rsid w:val="001850F9"/>
    <w:rsid w:val="00186119"/>
    <w:rsid w:val="0018625E"/>
    <w:rsid w:val="00187B63"/>
    <w:rsid w:val="00187D20"/>
    <w:rsid w:val="001913DB"/>
    <w:rsid w:val="001919E8"/>
    <w:rsid w:val="00191E67"/>
    <w:rsid w:val="0019256B"/>
    <w:rsid w:val="00192587"/>
    <w:rsid w:val="00193447"/>
    <w:rsid w:val="00193BF1"/>
    <w:rsid w:val="001948A8"/>
    <w:rsid w:val="00195976"/>
    <w:rsid w:val="00195C3B"/>
    <w:rsid w:val="001974BC"/>
    <w:rsid w:val="001979D7"/>
    <w:rsid w:val="001A0180"/>
    <w:rsid w:val="001A03D4"/>
    <w:rsid w:val="001A04C3"/>
    <w:rsid w:val="001A05C9"/>
    <w:rsid w:val="001A0EA2"/>
    <w:rsid w:val="001A1242"/>
    <w:rsid w:val="001A17CF"/>
    <w:rsid w:val="001A1B25"/>
    <w:rsid w:val="001A2CF4"/>
    <w:rsid w:val="001A3494"/>
    <w:rsid w:val="001A355A"/>
    <w:rsid w:val="001A358F"/>
    <w:rsid w:val="001A3608"/>
    <w:rsid w:val="001A3F2B"/>
    <w:rsid w:val="001A51D8"/>
    <w:rsid w:val="001A53DE"/>
    <w:rsid w:val="001A613C"/>
    <w:rsid w:val="001A726F"/>
    <w:rsid w:val="001B0AB1"/>
    <w:rsid w:val="001B1385"/>
    <w:rsid w:val="001B1B46"/>
    <w:rsid w:val="001B304E"/>
    <w:rsid w:val="001B42A5"/>
    <w:rsid w:val="001B51BD"/>
    <w:rsid w:val="001B5714"/>
    <w:rsid w:val="001B5733"/>
    <w:rsid w:val="001B75D3"/>
    <w:rsid w:val="001B796D"/>
    <w:rsid w:val="001C00D7"/>
    <w:rsid w:val="001C0741"/>
    <w:rsid w:val="001C2A82"/>
    <w:rsid w:val="001C2CDF"/>
    <w:rsid w:val="001C3A78"/>
    <w:rsid w:val="001C53CC"/>
    <w:rsid w:val="001C570A"/>
    <w:rsid w:val="001C5DE7"/>
    <w:rsid w:val="001C6770"/>
    <w:rsid w:val="001C6AA1"/>
    <w:rsid w:val="001D10A7"/>
    <w:rsid w:val="001D1B99"/>
    <w:rsid w:val="001D35C2"/>
    <w:rsid w:val="001D3769"/>
    <w:rsid w:val="001D49F6"/>
    <w:rsid w:val="001D6C62"/>
    <w:rsid w:val="001E088B"/>
    <w:rsid w:val="001E09A6"/>
    <w:rsid w:val="001E0C21"/>
    <w:rsid w:val="001E0DF3"/>
    <w:rsid w:val="001E13EB"/>
    <w:rsid w:val="001E15FD"/>
    <w:rsid w:val="001E1D87"/>
    <w:rsid w:val="001E2BE0"/>
    <w:rsid w:val="001E33B8"/>
    <w:rsid w:val="001E44EA"/>
    <w:rsid w:val="001E4CDD"/>
    <w:rsid w:val="001E4DA9"/>
    <w:rsid w:val="001E5F15"/>
    <w:rsid w:val="001E6166"/>
    <w:rsid w:val="001E6CC7"/>
    <w:rsid w:val="001E70D1"/>
    <w:rsid w:val="001E74EF"/>
    <w:rsid w:val="001E7942"/>
    <w:rsid w:val="001E7C6B"/>
    <w:rsid w:val="001F0243"/>
    <w:rsid w:val="001F03B3"/>
    <w:rsid w:val="001F0629"/>
    <w:rsid w:val="001F1F0F"/>
    <w:rsid w:val="001F2E21"/>
    <w:rsid w:val="001F33AF"/>
    <w:rsid w:val="001F390D"/>
    <w:rsid w:val="001F3F94"/>
    <w:rsid w:val="001F4757"/>
    <w:rsid w:val="001F48A6"/>
    <w:rsid w:val="001F4C37"/>
    <w:rsid w:val="001F50C7"/>
    <w:rsid w:val="001F575E"/>
    <w:rsid w:val="001F700F"/>
    <w:rsid w:val="002003DA"/>
    <w:rsid w:val="00200776"/>
    <w:rsid w:val="00200D57"/>
    <w:rsid w:val="0020119B"/>
    <w:rsid w:val="0020121F"/>
    <w:rsid w:val="0020159A"/>
    <w:rsid w:val="0020178C"/>
    <w:rsid w:val="002026B3"/>
    <w:rsid w:val="00202D40"/>
    <w:rsid w:val="002047AE"/>
    <w:rsid w:val="00204936"/>
    <w:rsid w:val="0020569A"/>
    <w:rsid w:val="00205771"/>
    <w:rsid w:val="00206326"/>
    <w:rsid w:val="0020649D"/>
    <w:rsid w:val="00206547"/>
    <w:rsid w:val="002068B6"/>
    <w:rsid w:val="0020693F"/>
    <w:rsid w:val="002071CD"/>
    <w:rsid w:val="00207586"/>
    <w:rsid w:val="002079DE"/>
    <w:rsid w:val="0021033A"/>
    <w:rsid w:val="002126D0"/>
    <w:rsid w:val="00212D70"/>
    <w:rsid w:val="002133FC"/>
    <w:rsid w:val="00213CAF"/>
    <w:rsid w:val="002141C9"/>
    <w:rsid w:val="00215B4A"/>
    <w:rsid w:val="002179C0"/>
    <w:rsid w:val="00217ADC"/>
    <w:rsid w:val="00217FD9"/>
    <w:rsid w:val="002212D1"/>
    <w:rsid w:val="00221842"/>
    <w:rsid w:val="00221AB7"/>
    <w:rsid w:val="00223E76"/>
    <w:rsid w:val="00224D46"/>
    <w:rsid w:val="00225A12"/>
    <w:rsid w:val="00226D2C"/>
    <w:rsid w:val="00226EB9"/>
    <w:rsid w:val="0022776E"/>
    <w:rsid w:val="00227B4A"/>
    <w:rsid w:val="0023045C"/>
    <w:rsid w:val="00230F27"/>
    <w:rsid w:val="002313FD"/>
    <w:rsid w:val="0023174E"/>
    <w:rsid w:val="00231758"/>
    <w:rsid w:val="00231B7F"/>
    <w:rsid w:val="00231F1A"/>
    <w:rsid w:val="00233447"/>
    <w:rsid w:val="00233B17"/>
    <w:rsid w:val="00233B60"/>
    <w:rsid w:val="00235235"/>
    <w:rsid w:val="00236F1C"/>
    <w:rsid w:val="002377DB"/>
    <w:rsid w:val="002379A6"/>
    <w:rsid w:val="00240BD7"/>
    <w:rsid w:val="002415A1"/>
    <w:rsid w:val="00241BAB"/>
    <w:rsid w:val="00242428"/>
    <w:rsid w:val="002424D1"/>
    <w:rsid w:val="0024353F"/>
    <w:rsid w:val="002448A1"/>
    <w:rsid w:val="00244B70"/>
    <w:rsid w:val="00245DFF"/>
    <w:rsid w:val="002474C3"/>
    <w:rsid w:val="002478D1"/>
    <w:rsid w:val="00250694"/>
    <w:rsid w:val="00251527"/>
    <w:rsid w:val="002515CA"/>
    <w:rsid w:val="002516A7"/>
    <w:rsid w:val="0025199A"/>
    <w:rsid w:val="00252332"/>
    <w:rsid w:val="00252648"/>
    <w:rsid w:val="002529ED"/>
    <w:rsid w:val="00252BC7"/>
    <w:rsid w:val="0025301C"/>
    <w:rsid w:val="00253631"/>
    <w:rsid w:val="002547A5"/>
    <w:rsid w:val="00255A94"/>
    <w:rsid w:val="002575A8"/>
    <w:rsid w:val="00257C20"/>
    <w:rsid w:val="00260BB6"/>
    <w:rsid w:val="0026180A"/>
    <w:rsid w:val="002627B0"/>
    <w:rsid w:val="00262D8A"/>
    <w:rsid w:val="00263474"/>
    <w:rsid w:val="00264609"/>
    <w:rsid w:val="00264BCA"/>
    <w:rsid w:val="00264F8E"/>
    <w:rsid w:val="00265953"/>
    <w:rsid w:val="00265EE4"/>
    <w:rsid w:val="00270806"/>
    <w:rsid w:val="002708C6"/>
    <w:rsid w:val="00270960"/>
    <w:rsid w:val="00270D7C"/>
    <w:rsid w:val="00272499"/>
    <w:rsid w:val="002725A2"/>
    <w:rsid w:val="00272EB8"/>
    <w:rsid w:val="00273019"/>
    <w:rsid w:val="00273153"/>
    <w:rsid w:val="0027355B"/>
    <w:rsid w:val="0027362B"/>
    <w:rsid w:val="00273EBA"/>
    <w:rsid w:val="002745CB"/>
    <w:rsid w:val="00275ED1"/>
    <w:rsid w:val="00275F16"/>
    <w:rsid w:val="00275F2C"/>
    <w:rsid w:val="00276B4F"/>
    <w:rsid w:val="0028091C"/>
    <w:rsid w:val="00280BDC"/>
    <w:rsid w:val="00281F76"/>
    <w:rsid w:val="00282080"/>
    <w:rsid w:val="002820FC"/>
    <w:rsid w:val="00282B62"/>
    <w:rsid w:val="00283130"/>
    <w:rsid w:val="00284A4E"/>
    <w:rsid w:val="00285283"/>
    <w:rsid w:val="00285670"/>
    <w:rsid w:val="00285A7D"/>
    <w:rsid w:val="00286385"/>
    <w:rsid w:val="002867DD"/>
    <w:rsid w:val="0028681D"/>
    <w:rsid w:val="00290B32"/>
    <w:rsid w:val="00292964"/>
    <w:rsid w:val="00292E72"/>
    <w:rsid w:val="00292EF4"/>
    <w:rsid w:val="00292F0C"/>
    <w:rsid w:val="00293632"/>
    <w:rsid w:val="00293C00"/>
    <w:rsid w:val="00294189"/>
    <w:rsid w:val="0029470C"/>
    <w:rsid w:val="00294DEC"/>
    <w:rsid w:val="00295BAE"/>
    <w:rsid w:val="00296149"/>
    <w:rsid w:val="002964EA"/>
    <w:rsid w:val="0029703D"/>
    <w:rsid w:val="00297B1D"/>
    <w:rsid w:val="00297DB2"/>
    <w:rsid w:val="002A023D"/>
    <w:rsid w:val="002A0778"/>
    <w:rsid w:val="002A08F6"/>
    <w:rsid w:val="002A0D3B"/>
    <w:rsid w:val="002A0EA8"/>
    <w:rsid w:val="002A1C6B"/>
    <w:rsid w:val="002A214A"/>
    <w:rsid w:val="002A27DA"/>
    <w:rsid w:val="002A369D"/>
    <w:rsid w:val="002A4485"/>
    <w:rsid w:val="002A4864"/>
    <w:rsid w:val="002A4A9E"/>
    <w:rsid w:val="002A564D"/>
    <w:rsid w:val="002A609B"/>
    <w:rsid w:val="002A6527"/>
    <w:rsid w:val="002A6C2E"/>
    <w:rsid w:val="002A72A8"/>
    <w:rsid w:val="002A78A2"/>
    <w:rsid w:val="002A7ADC"/>
    <w:rsid w:val="002B0399"/>
    <w:rsid w:val="002B19E5"/>
    <w:rsid w:val="002B1A7C"/>
    <w:rsid w:val="002B1B7E"/>
    <w:rsid w:val="002B246B"/>
    <w:rsid w:val="002B2852"/>
    <w:rsid w:val="002B2A19"/>
    <w:rsid w:val="002B334B"/>
    <w:rsid w:val="002B46F6"/>
    <w:rsid w:val="002B5018"/>
    <w:rsid w:val="002B63F3"/>
    <w:rsid w:val="002B6EC7"/>
    <w:rsid w:val="002B70F7"/>
    <w:rsid w:val="002B740F"/>
    <w:rsid w:val="002B75DD"/>
    <w:rsid w:val="002C0E4C"/>
    <w:rsid w:val="002C0E63"/>
    <w:rsid w:val="002C0FBA"/>
    <w:rsid w:val="002C1254"/>
    <w:rsid w:val="002C3093"/>
    <w:rsid w:val="002C32B4"/>
    <w:rsid w:val="002C43C6"/>
    <w:rsid w:val="002C48E9"/>
    <w:rsid w:val="002C4ABB"/>
    <w:rsid w:val="002C6173"/>
    <w:rsid w:val="002C638E"/>
    <w:rsid w:val="002C66B4"/>
    <w:rsid w:val="002C7208"/>
    <w:rsid w:val="002C73E0"/>
    <w:rsid w:val="002C75B3"/>
    <w:rsid w:val="002C7899"/>
    <w:rsid w:val="002C7D8B"/>
    <w:rsid w:val="002D0025"/>
    <w:rsid w:val="002D08F0"/>
    <w:rsid w:val="002D1185"/>
    <w:rsid w:val="002D1476"/>
    <w:rsid w:val="002D1EB8"/>
    <w:rsid w:val="002D2115"/>
    <w:rsid w:val="002D2293"/>
    <w:rsid w:val="002D3221"/>
    <w:rsid w:val="002D36AA"/>
    <w:rsid w:val="002D6590"/>
    <w:rsid w:val="002D676A"/>
    <w:rsid w:val="002D6F4E"/>
    <w:rsid w:val="002D752A"/>
    <w:rsid w:val="002D7E0B"/>
    <w:rsid w:val="002E029E"/>
    <w:rsid w:val="002E2FBA"/>
    <w:rsid w:val="002E3E97"/>
    <w:rsid w:val="002E4218"/>
    <w:rsid w:val="002E4733"/>
    <w:rsid w:val="002E4CF0"/>
    <w:rsid w:val="002E4EBE"/>
    <w:rsid w:val="002E522E"/>
    <w:rsid w:val="002E530B"/>
    <w:rsid w:val="002E5398"/>
    <w:rsid w:val="002E5610"/>
    <w:rsid w:val="002E575D"/>
    <w:rsid w:val="002E6139"/>
    <w:rsid w:val="002E61C4"/>
    <w:rsid w:val="002E6CAE"/>
    <w:rsid w:val="002E6D90"/>
    <w:rsid w:val="002E6F05"/>
    <w:rsid w:val="002E7A0F"/>
    <w:rsid w:val="002E7ADA"/>
    <w:rsid w:val="002F0880"/>
    <w:rsid w:val="002F1113"/>
    <w:rsid w:val="002F1719"/>
    <w:rsid w:val="002F1BE2"/>
    <w:rsid w:val="002F21A6"/>
    <w:rsid w:val="002F22BB"/>
    <w:rsid w:val="002F37E0"/>
    <w:rsid w:val="002F3CF6"/>
    <w:rsid w:val="002F4DCF"/>
    <w:rsid w:val="002F4E9A"/>
    <w:rsid w:val="002F59CA"/>
    <w:rsid w:val="002F781B"/>
    <w:rsid w:val="00300206"/>
    <w:rsid w:val="00302D71"/>
    <w:rsid w:val="00302F61"/>
    <w:rsid w:val="003043F2"/>
    <w:rsid w:val="003049B6"/>
    <w:rsid w:val="00307899"/>
    <w:rsid w:val="00310285"/>
    <w:rsid w:val="00311BBF"/>
    <w:rsid w:val="00311E61"/>
    <w:rsid w:val="00312174"/>
    <w:rsid w:val="00313394"/>
    <w:rsid w:val="0031345F"/>
    <w:rsid w:val="00313523"/>
    <w:rsid w:val="00314A8B"/>
    <w:rsid w:val="00314DC3"/>
    <w:rsid w:val="00315793"/>
    <w:rsid w:val="00316039"/>
    <w:rsid w:val="003165FA"/>
    <w:rsid w:val="003170EB"/>
    <w:rsid w:val="00317884"/>
    <w:rsid w:val="00320F00"/>
    <w:rsid w:val="003228E1"/>
    <w:rsid w:val="00325399"/>
    <w:rsid w:val="00325A78"/>
    <w:rsid w:val="00325CC1"/>
    <w:rsid w:val="00326798"/>
    <w:rsid w:val="003267C9"/>
    <w:rsid w:val="00326C8F"/>
    <w:rsid w:val="00327034"/>
    <w:rsid w:val="00327704"/>
    <w:rsid w:val="0033030E"/>
    <w:rsid w:val="00330A81"/>
    <w:rsid w:val="003310E7"/>
    <w:rsid w:val="0033120E"/>
    <w:rsid w:val="003314B5"/>
    <w:rsid w:val="00332711"/>
    <w:rsid w:val="00332EF9"/>
    <w:rsid w:val="00332F0D"/>
    <w:rsid w:val="00333B62"/>
    <w:rsid w:val="0033471B"/>
    <w:rsid w:val="0033658D"/>
    <w:rsid w:val="003400EB"/>
    <w:rsid w:val="0034032B"/>
    <w:rsid w:val="003419C9"/>
    <w:rsid w:val="00343626"/>
    <w:rsid w:val="0034397D"/>
    <w:rsid w:val="00345CDE"/>
    <w:rsid w:val="00346270"/>
    <w:rsid w:val="0034658F"/>
    <w:rsid w:val="003477F9"/>
    <w:rsid w:val="0034781D"/>
    <w:rsid w:val="003502B0"/>
    <w:rsid w:val="00351040"/>
    <w:rsid w:val="00351073"/>
    <w:rsid w:val="003516CC"/>
    <w:rsid w:val="0035191D"/>
    <w:rsid w:val="00351CB1"/>
    <w:rsid w:val="00351CFD"/>
    <w:rsid w:val="00351DD5"/>
    <w:rsid w:val="003522DF"/>
    <w:rsid w:val="00352757"/>
    <w:rsid w:val="003528C1"/>
    <w:rsid w:val="00352E98"/>
    <w:rsid w:val="00353292"/>
    <w:rsid w:val="00353B70"/>
    <w:rsid w:val="003552FE"/>
    <w:rsid w:val="003556F1"/>
    <w:rsid w:val="00355A0A"/>
    <w:rsid w:val="00355C95"/>
    <w:rsid w:val="00355FC3"/>
    <w:rsid w:val="003601EF"/>
    <w:rsid w:val="00360281"/>
    <w:rsid w:val="00360656"/>
    <w:rsid w:val="00360B0A"/>
    <w:rsid w:val="00360EDB"/>
    <w:rsid w:val="00361A3B"/>
    <w:rsid w:val="00362103"/>
    <w:rsid w:val="0036222B"/>
    <w:rsid w:val="003637BE"/>
    <w:rsid w:val="00366444"/>
    <w:rsid w:val="003666DB"/>
    <w:rsid w:val="00366EAD"/>
    <w:rsid w:val="003672E8"/>
    <w:rsid w:val="0036765E"/>
    <w:rsid w:val="00367FC0"/>
    <w:rsid w:val="00370265"/>
    <w:rsid w:val="00371F04"/>
    <w:rsid w:val="00372D6C"/>
    <w:rsid w:val="00372E51"/>
    <w:rsid w:val="0037450C"/>
    <w:rsid w:val="0037472F"/>
    <w:rsid w:val="00374883"/>
    <w:rsid w:val="003748FE"/>
    <w:rsid w:val="00374B86"/>
    <w:rsid w:val="003755B4"/>
    <w:rsid w:val="0037640F"/>
    <w:rsid w:val="00376D9D"/>
    <w:rsid w:val="0038018E"/>
    <w:rsid w:val="003823CD"/>
    <w:rsid w:val="0038307D"/>
    <w:rsid w:val="003836FF"/>
    <w:rsid w:val="003843CF"/>
    <w:rsid w:val="00385DA3"/>
    <w:rsid w:val="00386FDB"/>
    <w:rsid w:val="003904A8"/>
    <w:rsid w:val="003908CF"/>
    <w:rsid w:val="003908DA"/>
    <w:rsid w:val="00390D2B"/>
    <w:rsid w:val="00391256"/>
    <w:rsid w:val="0039138A"/>
    <w:rsid w:val="00391426"/>
    <w:rsid w:val="003925BA"/>
    <w:rsid w:val="003930B0"/>
    <w:rsid w:val="003933B4"/>
    <w:rsid w:val="00393C53"/>
    <w:rsid w:val="00393F2C"/>
    <w:rsid w:val="0039487A"/>
    <w:rsid w:val="00394FE2"/>
    <w:rsid w:val="00395C44"/>
    <w:rsid w:val="00396C5F"/>
    <w:rsid w:val="003975CC"/>
    <w:rsid w:val="003A0BB9"/>
    <w:rsid w:val="003A1857"/>
    <w:rsid w:val="003A1D80"/>
    <w:rsid w:val="003A2392"/>
    <w:rsid w:val="003A29FE"/>
    <w:rsid w:val="003A2C85"/>
    <w:rsid w:val="003A2DC4"/>
    <w:rsid w:val="003A2F90"/>
    <w:rsid w:val="003A3ADA"/>
    <w:rsid w:val="003A3B8B"/>
    <w:rsid w:val="003A461F"/>
    <w:rsid w:val="003A4EC6"/>
    <w:rsid w:val="003A580C"/>
    <w:rsid w:val="003A6382"/>
    <w:rsid w:val="003A6936"/>
    <w:rsid w:val="003A6F75"/>
    <w:rsid w:val="003A71DF"/>
    <w:rsid w:val="003A7DA6"/>
    <w:rsid w:val="003A7E84"/>
    <w:rsid w:val="003B1362"/>
    <w:rsid w:val="003B1A88"/>
    <w:rsid w:val="003B2A1C"/>
    <w:rsid w:val="003B3DAB"/>
    <w:rsid w:val="003B4670"/>
    <w:rsid w:val="003B4B98"/>
    <w:rsid w:val="003B5035"/>
    <w:rsid w:val="003B52F1"/>
    <w:rsid w:val="003B566F"/>
    <w:rsid w:val="003B5745"/>
    <w:rsid w:val="003B57A6"/>
    <w:rsid w:val="003B5833"/>
    <w:rsid w:val="003B62D2"/>
    <w:rsid w:val="003B699B"/>
    <w:rsid w:val="003B7527"/>
    <w:rsid w:val="003C0536"/>
    <w:rsid w:val="003C0656"/>
    <w:rsid w:val="003C06B7"/>
    <w:rsid w:val="003C1CAC"/>
    <w:rsid w:val="003C22AE"/>
    <w:rsid w:val="003C27D4"/>
    <w:rsid w:val="003C2BE7"/>
    <w:rsid w:val="003C34A5"/>
    <w:rsid w:val="003C3809"/>
    <w:rsid w:val="003C3B97"/>
    <w:rsid w:val="003C4AB0"/>
    <w:rsid w:val="003C5071"/>
    <w:rsid w:val="003C5C8E"/>
    <w:rsid w:val="003C5E02"/>
    <w:rsid w:val="003C63EB"/>
    <w:rsid w:val="003C64E0"/>
    <w:rsid w:val="003C6EF6"/>
    <w:rsid w:val="003C7EC1"/>
    <w:rsid w:val="003D0164"/>
    <w:rsid w:val="003D08C4"/>
    <w:rsid w:val="003D0964"/>
    <w:rsid w:val="003D1E94"/>
    <w:rsid w:val="003D2950"/>
    <w:rsid w:val="003D2DDE"/>
    <w:rsid w:val="003D3156"/>
    <w:rsid w:val="003D334F"/>
    <w:rsid w:val="003D3589"/>
    <w:rsid w:val="003D4549"/>
    <w:rsid w:val="003E0F01"/>
    <w:rsid w:val="003E1CEE"/>
    <w:rsid w:val="003E2086"/>
    <w:rsid w:val="003E20C4"/>
    <w:rsid w:val="003E2546"/>
    <w:rsid w:val="003E25DF"/>
    <w:rsid w:val="003E2E05"/>
    <w:rsid w:val="003E32FB"/>
    <w:rsid w:val="003E428D"/>
    <w:rsid w:val="003E4E59"/>
    <w:rsid w:val="003E5377"/>
    <w:rsid w:val="003E5E33"/>
    <w:rsid w:val="003E61DC"/>
    <w:rsid w:val="003E6372"/>
    <w:rsid w:val="003E67A3"/>
    <w:rsid w:val="003E6E3B"/>
    <w:rsid w:val="003E7F4B"/>
    <w:rsid w:val="003E7FC1"/>
    <w:rsid w:val="003F02B2"/>
    <w:rsid w:val="003F046F"/>
    <w:rsid w:val="003F0DFF"/>
    <w:rsid w:val="003F1125"/>
    <w:rsid w:val="003F113E"/>
    <w:rsid w:val="003F1211"/>
    <w:rsid w:val="003F1CF9"/>
    <w:rsid w:val="003F212C"/>
    <w:rsid w:val="003F23FF"/>
    <w:rsid w:val="003F2853"/>
    <w:rsid w:val="003F2880"/>
    <w:rsid w:val="003F383B"/>
    <w:rsid w:val="003F3902"/>
    <w:rsid w:val="003F3ABB"/>
    <w:rsid w:val="003F48FC"/>
    <w:rsid w:val="003F535E"/>
    <w:rsid w:val="003F63A6"/>
    <w:rsid w:val="003F6500"/>
    <w:rsid w:val="003F69A3"/>
    <w:rsid w:val="003F6A1C"/>
    <w:rsid w:val="003F6F7F"/>
    <w:rsid w:val="003F7A2F"/>
    <w:rsid w:val="00400646"/>
    <w:rsid w:val="004017C0"/>
    <w:rsid w:val="00401D99"/>
    <w:rsid w:val="00402076"/>
    <w:rsid w:val="00402D07"/>
    <w:rsid w:val="00402E0F"/>
    <w:rsid w:val="00403C42"/>
    <w:rsid w:val="004043E8"/>
    <w:rsid w:val="00404AAF"/>
    <w:rsid w:val="00404E88"/>
    <w:rsid w:val="0040500E"/>
    <w:rsid w:val="00405CA4"/>
    <w:rsid w:val="0040713C"/>
    <w:rsid w:val="0040731A"/>
    <w:rsid w:val="0040741F"/>
    <w:rsid w:val="00407C03"/>
    <w:rsid w:val="0041017D"/>
    <w:rsid w:val="00410682"/>
    <w:rsid w:val="004107B5"/>
    <w:rsid w:val="00411C95"/>
    <w:rsid w:val="00411E84"/>
    <w:rsid w:val="004122E0"/>
    <w:rsid w:val="00412657"/>
    <w:rsid w:val="00412D68"/>
    <w:rsid w:val="004132A2"/>
    <w:rsid w:val="0041334A"/>
    <w:rsid w:val="004136C5"/>
    <w:rsid w:val="00413CD5"/>
    <w:rsid w:val="00414E2B"/>
    <w:rsid w:val="00414F0C"/>
    <w:rsid w:val="00416276"/>
    <w:rsid w:val="00416FBD"/>
    <w:rsid w:val="004179C5"/>
    <w:rsid w:val="00417F7E"/>
    <w:rsid w:val="00420656"/>
    <w:rsid w:val="004208E8"/>
    <w:rsid w:val="00420ECF"/>
    <w:rsid w:val="004215B6"/>
    <w:rsid w:val="004225DE"/>
    <w:rsid w:val="00422E00"/>
    <w:rsid w:val="004231DF"/>
    <w:rsid w:val="00423267"/>
    <w:rsid w:val="00423ADE"/>
    <w:rsid w:val="00423EF7"/>
    <w:rsid w:val="00424F5F"/>
    <w:rsid w:val="0042545C"/>
    <w:rsid w:val="0042588C"/>
    <w:rsid w:val="00425EE2"/>
    <w:rsid w:val="00426243"/>
    <w:rsid w:val="00427099"/>
    <w:rsid w:val="004277A9"/>
    <w:rsid w:val="00433FDA"/>
    <w:rsid w:val="004348EE"/>
    <w:rsid w:val="00434F52"/>
    <w:rsid w:val="00435261"/>
    <w:rsid w:val="0043701D"/>
    <w:rsid w:val="004374EE"/>
    <w:rsid w:val="00437D64"/>
    <w:rsid w:val="004403EF"/>
    <w:rsid w:val="00440E9A"/>
    <w:rsid w:val="004418FF"/>
    <w:rsid w:val="0044216C"/>
    <w:rsid w:val="00442463"/>
    <w:rsid w:val="00442513"/>
    <w:rsid w:val="00442779"/>
    <w:rsid w:val="004438A4"/>
    <w:rsid w:val="004438D2"/>
    <w:rsid w:val="00443A41"/>
    <w:rsid w:val="00443A5D"/>
    <w:rsid w:val="00443BB5"/>
    <w:rsid w:val="00445B82"/>
    <w:rsid w:val="00446857"/>
    <w:rsid w:val="00446DC6"/>
    <w:rsid w:val="00446F54"/>
    <w:rsid w:val="004472B7"/>
    <w:rsid w:val="004512C0"/>
    <w:rsid w:val="0045208E"/>
    <w:rsid w:val="004528D7"/>
    <w:rsid w:val="004529E0"/>
    <w:rsid w:val="004533BB"/>
    <w:rsid w:val="00454C3D"/>
    <w:rsid w:val="00456844"/>
    <w:rsid w:val="00457C89"/>
    <w:rsid w:val="004604EC"/>
    <w:rsid w:val="00460CD2"/>
    <w:rsid w:val="00461591"/>
    <w:rsid w:val="0046185D"/>
    <w:rsid w:val="00462EFE"/>
    <w:rsid w:val="00464FDF"/>
    <w:rsid w:val="00465424"/>
    <w:rsid w:val="004654C4"/>
    <w:rsid w:val="00465C0F"/>
    <w:rsid w:val="00465F13"/>
    <w:rsid w:val="0046625C"/>
    <w:rsid w:val="00466358"/>
    <w:rsid w:val="0046692D"/>
    <w:rsid w:val="00466E01"/>
    <w:rsid w:val="0046761E"/>
    <w:rsid w:val="00467E3D"/>
    <w:rsid w:val="00471D40"/>
    <w:rsid w:val="00475196"/>
    <w:rsid w:val="00475E01"/>
    <w:rsid w:val="00475E39"/>
    <w:rsid w:val="00476C44"/>
    <w:rsid w:val="004772D6"/>
    <w:rsid w:val="004776FB"/>
    <w:rsid w:val="004777F3"/>
    <w:rsid w:val="0047784F"/>
    <w:rsid w:val="00477F06"/>
    <w:rsid w:val="00480091"/>
    <w:rsid w:val="00480972"/>
    <w:rsid w:val="00480A86"/>
    <w:rsid w:val="004828A8"/>
    <w:rsid w:val="0048350F"/>
    <w:rsid w:val="0048409A"/>
    <w:rsid w:val="004841B8"/>
    <w:rsid w:val="00485BAE"/>
    <w:rsid w:val="00485C99"/>
    <w:rsid w:val="0048669A"/>
    <w:rsid w:val="0048755F"/>
    <w:rsid w:val="00490079"/>
    <w:rsid w:val="004904B6"/>
    <w:rsid w:val="0049050D"/>
    <w:rsid w:val="00490DDB"/>
    <w:rsid w:val="00491537"/>
    <w:rsid w:val="0049183A"/>
    <w:rsid w:val="004918F8"/>
    <w:rsid w:val="004921FF"/>
    <w:rsid w:val="00492321"/>
    <w:rsid w:val="00492D56"/>
    <w:rsid w:val="00492EAA"/>
    <w:rsid w:val="00493089"/>
    <w:rsid w:val="004938A7"/>
    <w:rsid w:val="00494038"/>
    <w:rsid w:val="004957F7"/>
    <w:rsid w:val="00495ED2"/>
    <w:rsid w:val="00496003"/>
    <w:rsid w:val="004A0A4B"/>
    <w:rsid w:val="004A1B70"/>
    <w:rsid w:val="004A39F6"/>
    <w:rsid w:val="004A3AC9"/>
    <w:rsid w:val="004A3FB8"/>
    <w:rsid w:val="004A4179"/>
    <w:rsid w:val="004A4CEF"/>
    <w:rsid w:val="004A4F37"/>
    <w:rsid w:val="004A5A60"/>
    <w:rsid w:val="004A64F5"/>
    <w:rsid w:val="004A6C40"/>
    <w:rsid w:val="004B1457"/>
    <w:rsid w:val="004B2015"/>
    <w:rsid w:val="004B2AB4"/>
    <w:rsid w:val="004B3908"/>
    <w:rsid w:val="004B435A"/>
    <w:rsid w:val="004B50E7"/>
    <w:rsid w:val="004B514A"/>
    <w:rsid w:val="004B5181"/>
    <w:rsid w:val="004B6173"/>
    <w:rsid w:val="004B6281"/>
    <w:rsid w:val="004B74A8"/>
    <w:rsid w:val="004B74D5"/>
    <w:rsid w:val="004B7677"/>
    <w:rsid w:val="004B7AD3"/>
    <w:rsid w:val="004C0D51"/>
    <w:rsid w:val="004C100B"/>
    <w:rsid w:val="004C140F"/>
    <w:rsid w:val="004C199A"/>
    <w:rsid w:val="004C23F9"/>
    <w:rsid w:val="004C2424"/>
    <w:rsid w:val="004C2A99"/>
    <w:rsid w:val="004C2AAD"/>
    <w:rsid w:val="004C307B"/>
    <w:rsid w:val="004C32DE"/>
    <w:rsid w:val="004C375C"/>
    <w:rsid w:val="004C5279"/>
    <w:rsid w:val="004C582F"/>
    <w:rsid w:val="004C5836"/>
    <w:rsid w:val="004C5C51"/>
    <w:rsid w:val="004C5EE9"/>
    <w:rsid w:val="004C5F3D"/>
    <w:rsid w:val="004C668C"/>
    <w:rsid w:val="004C74BF"/>
    <w:rsid w:val="004C759E"/>
    <w:rsid w:val="004C7738"/>
    <w:rsid w:val="004D1BA6"/>
    <w:rsid w:val="004D1D5E"/>
    <w:rsid w:val="004D351F"/>
    <w:rsid w:val="004D3EFD"/>
    <w:rsid w:val="004D4714"/>
    <w:rsid w:val="004D4D33"/>
    <w:rsid w:val="004D4DEF"/>
    <w:rsid w:val="004D4F3D"/>
    <w:rsid w:val="004D4F95"/>
    <w:rsid w:val="004D521F"/>
    <w:rsid w:val="004D58ED"/>
    <w:rsid w:val="004D5CF7"/>
    <w:rsid w:val="004D5FF1"/>
    <w:rsid w:val="004D6A63"/>
    <w:rsid w:val="004D7468"/>
    <w:rsid w:val="004D7DF3"/>
    <w:rsid w:val="004E0DC2"/>
    <w:rsid w:val="004E0EB5"/>
    <w:rsid w:val="004E217A"/>
    <w:rsid w:val="004E2F7D"/>
    <w:rsid w:val="004E34BF"/>
    <w:rsid w:val="004E350C"/>
    <w:rsid w:val="004E4D47"/>
    <w:rsid w:val="004E5526"/>
    <w:rsid w:val="004E66EA"/>
    <w:rsid w:val="004E70FA"/>
    <w:rsid w:val="004F06C3"/>
    <w:rsid w:val="004F0B4F"/>
    <w:rsid w:val="004F0D47"/>
    <w:rsid w:val="004F3766"/>
    <w:rsid w:val="004F4F77"/>
    <w:rsid w:val="004F5322"/>
    <w:rsid w:val="004F5563"/>
    <w:rsid w:val="004F5B11"/>
    <w:rsid w:val="004F5B38"/>
    <w:rsid w:val="004F6EC2"/>
    <w:rsid w:val="004F7044"/>
    <w:rsid w:val="004F746D"/>
    <w:rsid w:val="004F74D5"/>
    <w:rsid w:val="0050138A"/>
    <w:rsid w:val="00503B0C"/>
    <w:rsid w:val="00503E58"/>
    <w:rsid w:val="00504E94"/>
    <w:rsid w:val="005056C2"/>
    <w:rsid w:val="00505778"/>
    <w:rsid w:val="00505A48"/>
    <w:rsid w:val="00505CB1"/>
    <w:rsid w:val="005065F5"/>
    <w:rsid w:val="00510270"/>
    <w:rsid w:val="005108E1"/>
    <w:rsid w:val="0051180D"/>
    <w:rsid w:val="00511BE6"/>
    <w:rsid w:val="00511D28"/>
    <w:rsid w:val="00512B12"/>
    <w:rsid w:val="00512FB8"/>
    <w:rsid w:val="0051446C"/>
    <w:rsid w:val="00514818"/>
    <w:rsid w:val="00515E4F"/>
    <w:rsid w:val="0051607A"/>
    <w:rsid w:val="00516929"/>
    <w:rsid w:val="00516CCC"/>
    <w:rsid w:val="00517CCE"/>
    <w:rsid w:val="0052027D"/>
    <w:rsid w:val="00520B51"/>
    <w:rsid w:val="00521A42"/>
    <w:rsid w:val="00521C25"/>
    <w:rsid w:val="0052340C"/>
    <w:rsid w:val="005239F9"/>
    <w:rsid w:val="00523B07"/>
    <w:rsid w:val="00524126"/>
    <w:rsid w:val="00524993"/>
    <w:rsid w:val="00524C26"/>
    <w:rsid w:val="00524E73"/>
    <w:rsid w:val="00525093"/>
    <w:rsid w:val="00525208"/>
    <w:rsid w:val="005269EB"/>
    <w:rsid w:val="00526BF9"/>
    <w:rsid w:val="00526EF2"/>
    <w:rsid w:val="00527943"/>
    <w:rsid w:val="005301FD"/>
    <w:rsid w:val="005315D5"/>
    <w:rsid w:val="00531A2D"/>
    <w:rsid w:val="005328CF"/>
    <w:rsid w:val="00532F24"/>
    <w:rsid w:val="005333A7"/>
    <w:rsid w:val="005342DD"/>
    <w:rsid w:val="00534A2E"/>
    <w:rsid w:val="005350FD"/>
    <w:rsid w:val="005354D5"/>
    <w:rsid w:val="005362A8"/>
    <w:rsid w:val="00536C52"/>
    <w:rsid w:val="00537043"/>
    <w:rsid w:val="005370D4"/>
    <w:rsid w:val="005372F6"/>
    <w:rsid w:val="00541022"/>
    <w:rsid w:val="0054121A"/>
    <w:rsid w:val="00541444"/>
    <w:rsid w:val="0054271A"/>
    <w:rsid w:val="005432A3"/>
    <w:rsid w:val="0054368D"/>
    <w:rsid w:val="005436A3"/>
    <w:rsid w:val="0054425B"/>
    <w:rsid w:val="00545366"/>
    <w:rsid w:val="00545759"/>
    <w:rsid w:val="00545BDC"/>
    <w:rsid w:val="00545E9D"/>
    <w:rsid w:val="0054615E"/>
    <w:rsid w:val="005462DF"/>
    <w:rsid w:val="00546EC7"/>
    <w:rsid w:val="0054748F"/>
    <w:rsid w:val="00547F32"/>
    <w:rsid w:val="00550382"/>
    <w:rsid w:val="00552656"/>
    <w:rsid w:val="00552751"/>
    <w:rsid w:val="00552D32"/>
    <w:rsid w:val="005531EA"/>
    <w:rsid w:val="0055340A"/>
    <w:rsid w:val="00555C2D"/>
    <w:rsid w:val="00555F1B"/>
    <w:rsid w:val="0056110E"/>
    <w:rsid w:val="005612E4"/>
    <w:rsid w:val="005623E2"/>
    <w:rsid w:val="005658F6"/>
    <w:rsid w:val="00565C5C"/>
    <w:rsid w:val="00566447"/>
    <w:rsid w:val="00566BA9"/>
    <w:rsid w:val="00566CAB"/>
    <w:rsid w:val="00566F99"/>
    <w:rsid w:val="00567384"/>
    <w:rsid w:val="00567B3D"/>
    <w:rsid w:val="00567EE0"/>
    <w:rsid w:val="005706A3"/>
    <w:rsid w:val="005719BA"/>
    <w:rsid w:val="00572B55"/>
    <w:rsid w:val="00572CC8"/>
    <w:rsid w:val="005730E9"/>
    <w:rsid w:val="00573E82"/>
    <w:rsid w:val="005746E5"/>
    <w:rsid w:val="00574A81"/>
    <w:rsid w:val="0057507E"/>
    <w:rsid w:val="005764C9"/>
    <w:rsid w:val="00577376"/>
    <w:rsid w:val="00577894"/>
    <w:rsid w:val="00581077"/>
    <w:rsid w:val="00581497"/>
    <w:rsid w:val="005816AC"/>
    <w:rsid w:val="0058257F"/>
    <w:rsid w:val="00582700"/>
    <w:rsid w:val="00582C22"/>
    <w:rsid w:val="005838B7"/>
    <w:rsid w:val="0058562F"/>
    <w:rsid w:val="00585BCB"/>
    <w:rsid w:val="005861A5"/>
    <w:rsid w:val="00587577"/>
    <w:rsid w:val="0058786B"/>
    <w:rsid w:val="00587DF6"/>
    <w:rsid w:val="00587F8E"/>
    <w:rsid w:val="00590674"/>
    <w:rsid w:val="00591378"/>
    <w:rsid w:val="00592CD6"/>
    <w:rsid w:val="0059379A"/>
    <w:rsid w:val="005959F8"/>
    <w:rsid w:val="005967EF"/>
    <w:rsid w:val="00596A84"/>
    <w:rsid w:val="00597D26"/>
    <w:rsid w:val="005A07ED"/>
    <w:rsid w:val="005A1768"/>
    <w:rsid w:val="005A206C"/>
    <w:rsid w:val="005A2AD8"/>
    <w:rsid w:val="005A5CFF"/>
    <w:rsid w:val="005A5E4B"/>
    <w:rsid w:val="005A7100"/>
    <w:rsid w:val="005A74F6"/>
    <w:rsid w:val="005A7F27"/>
    <w:rsid w:val="005B041C"/>
    <w:rsid w:val="005B0711"/>
    <w:rsid w:val="005B076C"/>
    <w:rsid w:val="005B1453"/>
    <w:rsid w:val="005B1D3B"/>
    <w:rsid w:val="005B1E54"/>
    <w:rsid w:val="005B4F6A"/>
    <w:rsid w:val="005B56C3"/>
    <w:rsid w:val="005B68B2"/>
    <w:rsid w:val="005B7DA2"/>
    <w:rsid w:val="005C0180"/>
    <w:rsid w:val="005C07ED"/>
    <w:rsid w:val="005C0939"/>
    <w:rsid w:val="005C0C96"/>
    <w:rsid w:val="005C0F96"/>
    <w:rsid w:val="005C1822"/>
    <w:rsid w:val="005C1D15"/>
    <w:rsid w:val="005C32E4"/>
    <w:rsid w:val="005C4157"/>
    <w:rsid w:val="005C4747"/>
    <w:rsid w:val="005C4A2D"/>
    <w:rsid w:val="005C4BFD"/>
    <w:rsid w:val="005C539D"/>
    <w:rsid w:val="005C55B5"/>
    <w:rsid w:val="005C5FB8"/>
    <w:rsid w:val="005C6618"/>
    <w:rsid w:val="005C76A2"/>
    <w:rsid w:val="005C7853"/>
    <w:rsid w:val="005D2BD3"/>
    <w:rsid w:val="005D2C7C"/>
    <w:rsid w:val="005D3C58"/>
    <w:rsid w:val="005D427A"/>
    <w:rsid w:val="005D65FE"/>
    <w:rsid w:val="005D6609"/>
    <w:rsid w:val="005D6BA3"/>
    <w:rsid w:val="005D6D7A"/>
    <w:rsid w:val="005D6E95"/>
    <w:rsid w:val="005E02E9"/>
    <w:rsid w:val="005E161A"/>
    <w:rsid w:val="005E27C9"/>
    <w:rsid w:val="005E29DF"/>
    <w:rsid w:val="005E2AD5"/>
    <w:rsid w:val="005E4A01"/>
    <w:rsid w:val="005E4C61"/>
    <w:rsid w:val="005E54E9"/>
    <w:rsid w:val="005E5708"/>
    <w:rsid w:val="005E5862"/>
    <w:rsid w:val="005E68EF"/>
    <w:rsid w:val="005F00A0"/>
    <w:rsid w:val="005F01FF"/>
    <w:rsid w:val="005F0202"/>
    <w:rsid w:val="005F08AD"/>
    <w:rsid w:val="005F0905"/>
    <w:rsid w:val="005F0A9D"/>
    <w:rsid w:val="005F0C7D"/>
    <w:rsid w:val="005F20E7"/>
    <w:rsid w:val="005F2655"/>
    <w:rsid w:val="005F41F6"/>
    <w:rsid w:val="005F49EA"/>
    <w:rsid w:val="005F51AF"/>
    <w:rsid w:val="005F5624"/>
    <w:rsid w:val="005F6449"/>
    <w:rsid w:val="005F6F1F"/>
    <w:rsid w:val="005F7DC1"/>
    <w:rsid w:val="006016C2"/>
    <w:rsid w:val="00602153"/>
    <w:rsid w:val="00602B22"/>
    <w:rsid w:val="00602BF5"/>
    <w:rsid w:val="00603486"/>
    <w:rsid w:val="00604505"/>
    <w:rsid w:val="006056A4"/>
    <w:rsid w:val="006056BA"/>
    <w:rsid w:val="006063B4"/>
    <w:rsid w:val="00606699"/>
    <w:rsid w:val="00607E91"/>
    <w:rsid w:val="00610067"/>
    <w:rsid w:val="0061159E"/>
    <w:rsid w:val="00611DF2"/>
    <w:rsid w:val="00612C59"/>
    <w:rsid w:val="00612D07"/>
    <w:rsid w:val="00612D82"/>
    <w:rsid w:val="00612E7E"/>
    <w:rsid w:val="0061503B"/>
    <w:rsid w:val="00615A2A"/>
    <w:rsid w:val="00615CF3"/>
    <w:rsid w:val="00615D4E"/>
    <w:rsid w:val="00615F07"/>
    <w:rsid w:val="006177EE"/>
    <w:rsid w:val="00617C96"/>
    <w:rsid w:val="00617D5B"/>
    <w:rsid w:val="0062106F"/>
    <w:rsid w:val="006210E9"/>
    <w:rsid w:val="00621A92"/>
    <w:rsid w:val="006228C1"/>
    <w:rsid w:val="00623BF4"/>
    <w:rsid w:val="0062491B"/>
    <w:rsid w:val="00627137"/>
    <w:rsid w:val="00630324"/>
    <w:rsid w:val="0063096D"/>
    <w:rsid w:val="00630E40"/>
    <w:rsid w:val="006319F8"/>
    <w:rsid w:val="0063245D"/>
    <w:rsid w:val="00632474"/>
    <w:rsid w:val="006327F1"/>
    <w:rsid w:val="0063336B"/>
    <w:rsid w:val="0063347E"/>
    <w:rsid w:val="00633748"/>
    <w:rsid w:val="00633889"/>
    <w:rsid w:val="006345AB"/>
    <w:rsid w:val="006345E8"/>
    <w:rsid w:val="00634D0D"/>
    <w:rsid w:val="00634D2C"/>
    <w:rsid w:val="006361C7"/>
    <w:rsid w:val="0063731C"/>
    <w:rsid w:val="006375A1"/>
    <w:rsid w:val="00637CBD"/>
    <w:rsid w:val="006402D2"/>
    <w:rsid w:val="0064057A"/>
    <w:rsid w:val="00640C1E"/>
    <w:rsid w:val="00642379"/>
    <w:rsid w:val="00645416"/>
    <w:rsid w:val="006458AB"/>
    <w:rsid w:val="00645A32"/>
    <w:rsid w:val="00646255"/>
    <w:rsid w:val="00646D3E"/>
    <w:rsid w:val="0064780A"/>
    <w:rsid w:val="00647BA9"/>
    <w:rsid w:val="00647DA5"/>
    <w:rsid w:val="00651B8A"/>
    <w:rsid w:val="006527C9"/>
    <w:rsid w:val="0065288C"/>
    <w:rsid w:val="00652958"/>
    <w:rsid w:val="0065389D"/>
    <w:rsid w:val="00653F14"/>
    <w:rsid w:val="0065463B"/>
    <w:rsid w:val="0065490A"/>
    <w:rsid w:val="00655172"/>
    <w:rsid w:val="00655C39"/>
    <w:rsid w:val="006569F6"/>
    <w:rsid w:val="00656D09"/>
    <w:rsid w:val="00657396"/>
    <w:rsid w:val="0065751D"/>
    <w:rsid w:val="006578CD"/>
    <w:rsid w:val="0066037B"/>
    <w:rsid w:val="00660C03"/>
    <w:rsid w:val="00661513"/>
    <w:rsid w:val="00661870"/>
    <w:rsid w:val="00661B51"/>
    <w:rsid w:val="0066297F"/>
    <w:rsid w:val="006635EE"/>
    <w:rsid w:val="0066363C"/>
    <w:rsid w:val="00663C23"/>
    <w:rsid w:val="00663D0F"/>
    <w:rsid w:val="00663E54"/>
    <w:rsid w:val="006647BA"/>
    <w:rsid w:val="00665649"/>
    <w:rsid w:val="006667B8"/>
    <w:rsid w:val="00667493"/>
    <w:rsid w:val="006701DD"/>
    <w:rsid w:val="006709E7"/>
    <w:rsid w:val="00670FD4"/>
    <w:rsid w:val="0067121D"/>
    <w:rsid w:val="006719C1"/>
    <w:rsid w:val="00671F23"/>
    <w:rsid w:val="00672051"/>
    <w:rsid w:val="00672367"/>
    <w:rsid w:val="00672995"/>
    <w:rsid w:val="00675AB9"/>
    <w:rsid w:val="006768BC"/>
    <w:rsid w:val="00676DF3"/>
    <w:rsid w:val="00677203"/>
    <w:rsid w:val="00677F08"/>
    <w:rsid w:val="00680EE0"/>
    <w:rsid w:val="00681CAB"/>
    <w:rsid w:val="00681CFE"/>
    <w:rsid w:val="00682A47"/>
    <w:rsid w:val="0068383B"/>
    <w:rsid w:val="006838A3"/>
    <w:rsid w:val="00684C5C"/>
    <w:rsid w:val="00684D31"/>
    <w:rsid w:val="00686EAD"/>
    <w:rsid w:val="00686FDE"/>
    <w:rsid w:val="006873FB"/>
    <w:rsid w:val="0069063C"/>
    <w:rsid w:val="006911DF"/>
    <w:rsid w:val="00691783"/>
    <w:rsid w:val="006917E5"/>
    <w:rsid w:val="006921A5"/>
    <w:rsid w:val="006924CE"/>
    <w:rsid w:val="00693529"/>
    <w:rsid w:val="00694D54"/>
    <w:rsid w:val="00694E73"/>
    <w:rsid w:val="006950CB"/>
    <w:rsid w:val="0069628A"/>
    <w:rsid w:val="00696C51"/>
    <w:rsid w:val="00696CD3"/>
    <w:rsid w:val="00696FBC"/>
    <w:rsid w:val="00697A50"/>
    <w:rsid w:val="006A06BA"/>
    <w:rsid w:val="006A0A7B"/>
    <w:rsid w:val="006A128D"/>
    <w:rsid w:val="006A20A2"/>
    <w:rsid w:val="006A399C"/>
    <w:rsid w:val="006A40E5"/>
    <w:rsid w:val="006A4711"/>
    <w:rsid w:val="006A5139"/>
    <w:rsid w:val="006A5C86"/>
    <w:rsid w:val="006A602F"/>
    <w:rsid w:val="006A6592"/>
    <w:rsid w:val="006A79DE"/>
    <w:rsid w:val="006A7A4D"/>
    <w:rsid w:val="006B01D7"/>
    <w:rsid w:val="006B0FC9"/>
    <w:rsid w:val="006B274E"/>
    <w:rsid w:val="006B2B5F"/>
    <w:rsid w:val="006B3010"/>
    <w:rsid w:val="006B310B"/>
    <w:rsid w:val="006B3B51"/>
    <w:rsid w:val="006B4405"/>
    <w:rsid w:val="006B4411"/>
    <w:rsid w:val="006B6785"/>
    <w:rsid w:val="006B6B6B"/>
    <w:rsid w:val="006B7C65"/>
    <w:rsid w:val="006C093E"/>
    <w:rsid w:val="006C1A0D"/>
    <w:rsid w:val="006C1C49"/>
    <w:rsid w:val="006C1F07"/>
    <w:rsid w:val="006C1FC2"/>
    <w:rsid w:val="006C245E"/>
    <w:rsid w:val="006C26A7"/>
    <w:rsid w:val="006C29A7"/>
    <w:rsid w:val="006C35B5"/>
    <w:rsid w:val="006C6EE2"/>
    <w:rsid w:val="006C7289"/>
    <w:rsid w:val="006C77BC"/>
    <w:rsid w:val="006D005D"/>
    <w:rsid w:val="006D01D9"/>
    <w:rsid w:val="006D059E"/>
    <w:rsid w:val="006D0A05"/>
    <w:rsid w:val="006D0B54"/>
    <w:rsid w:val="006D106C"/>
    <w:rsid w:val="006D1F3B"/>
    <w:rsid w:val="006D2598"/>
    <w:rsid w:val="006D2ED6"/>
    <w:rsid w:val="006D3425"/>
    <w:rsid w:val="006D4625"/>
    <w:rsid w:val="006D4710"/>
    <w:rsid w:val="006D53EE"/>
    <w:rsid w:val="006D55E9"/>
    <w:rsid w:val="006D588D"/>
    <w:rsid w:val="006D68DF"/>
    <w:rsid w:val="006D7BD1"/>
    <w:rsid w:val="006E076A"/>
    <w:rsid w:val="006E0F13"/>
    <w:rsid w:val="006E147E"/>
    <w:rsid w:val="006E20F2"/>
    <w:rsid w:val="006E214F"/>
    <w:rsid w:val="006E2DBE"/>
    <w:rsid w:val="006E2EB9"/>
    <w:rsid w:val="006E3F06"/>
    <w:rsid w:val="006E3FAA"/>
    <w:rsid w:val="006E4245"/>
    <w:rsid w:val="006E4398"/>
    <w:rsid w:val="006E5975"/>
    <w:rsid w:val="006E5F09"/>
    <w:rsid w:val="006E615C"/>
    <w:rsid w:val="006E6EBF"/>
    <w:rsid w:val="006F00F9"/>
    <w:rsid w:val="006F0107"/>
    <w:rsid w:val="006F0B2A"/>
    <w:rsid w:val="006F2632"/>
    <w:rsid w:val="006F2976"/>
    <w:rsid w:val="006F2E84"/>
    <w:rsid w:val="006F3C9A"/>
    <w:rsid w:val="006F3DCB"/>
    <w:rsid w:val="006F3E61"/>
    <w:rsid w:val="006F4734"/>
    <w:rsid w:val="006F7512"/>
    <w:rsid w:val="006F7629"/>
    <w:rsid w:val="006F7E42"/>
    <w:rsid w:val="00700A6F"/>
    <w:rsid w:val="00700E2D"/>
    <w:rsid w:val="00701A6D"/>
    <w:rsid w:val="00701ADD"/>
    <w:rsid w:val="0070260E"/>
    <w:rsid w:val="00702D45"/>
    <w:rsid w:val="007038E0"/>
    <w:rsid w:val="007044D6"/>
    <w:rsid w:val="00704D7F"/>
    <w:rsid w:val="00704DEA"/>
    <w:rsid w:val="00705258"/>
    <w:rsid w:val="0070644F"/>
    <w:rsid w:val="007065A8"/>
    <w:rsid w:val="00706FA3"/>
    <w:rsid w:val="0070735B"/>
    <w:rsid w:val="007076A0"/>
    <w:rsid w:val="007078E6"/>
    <w:rsid w:val="007106DE"/>
    <w:rsid w:val="00711248"/>
    <w:rsid w:val="007132AC"/>
    <w:rsid w:val="00715A1D"/>
    <w:rsid w:val="007162C1"/>
    <w:rsid w:val="00716724"/>
    <w:rsid w:val="00717371"/>
    <w:rsid w:val="00717C29"/>
    <w:rsid w:val="00717E35"/>
    <w:rsid w:val="00721917"/>
    <w:rsid w:val="00722332"/>
    <w:rsid w:val="00722A88"/>
    <w:rsid w:val="00724424"/>
    <w:rsid w:val="00724860"/>
    <w:rsid w:val="0072539C"/>
    <w:rsid w:val="00725445"/>
    <w:rsid w:val="00725623"/>
    <w:rsid w:val="007261B5"/>
    <w:rsid w:val="0072688B"/>
    <w:rsid w:val="00726D8A"/>
    <w:rsid w:val="0073005E"/>
    <w:rsid w:val="0073041B"/>
    <w:rsid w:val="007309B8"/>
    <w:rsid w:val="00730E0A"/>
    <w:rsid w:val="0073159A"/>
    <w:rsid w:val="007316C2"/>
    <w:rsid w:val="00732963"/>
    <w:rsid w:val="00732B34"/>
    <w:rsid w:val="00732D2E"/>
    <w:rsid w:val="00733AE9"/>
    <w:rsid w:val="007345FF"/>
    <w:rsid w:val="00734DDC"/>
    <w:rsid w:val="007359E6"/>
    <w:rsid w:val="00735D2D"/>
    <w:rsid w:val="00741B0F"/>
    <w:rsid w:val="007421C5"/>
    <w:rsid w:val="007425AE"/>
    <w:rsid w:val="0074297B"/>
    <w:rsid w:val="00743A70"/>
    <w:rsid w:val="00745CD4"/>
    <w:rsid w:val="00745F13"/>
    <w:rsid w:val="0074759A"/>
    <w:rsid w:val="0074776A"/>
    <w:rsid w:val="00747B15"/>
    <w:rsid w:val="00750879"/>
    <w:rsid w:val="007508EF"/>
    <w:rsid w:val="007519AC"/>
    <w:rsid w:val="00751DB4"/>
    <w:rsid w:val="007528A4"/>
    <w:rsid w:val="00752F5F"/>
    <w:rsid w:val="0075303A"/>
    <w:rsid w:val="00754312"/>
    <w:rsid w:val="00754710"/>
    <w:rsid w:val="00755B85"/>
    <w:rsid w:val="007567E0"/>
    <w:rsid w:val="00756CE8"/>
    <w:rsid w:val="00757870"/>
    <w:rsid w:val="0076008F"/>
    <w:rsid w:val="00761C21"/>
    <w:rsid w:val="00762CA0"/>
    <w:rsid w:val="007630F3"/>
    <w:rsid w:val="007631C5"/>
    <w:rsid w:val="00763441"/>
    <w:rsid w:val="0076384E"/>
    <w:rsid w:val="00764B1F"/>
    <w:rsid w:val="0076505C"/>
    <w:rsid w:val="00765A3D"/>
    <w:rsid w:val="00765C71"/>
    <w:rsid w:val="007669EF"/>
    <w:rsid w:val="00767AF1"/>
    <w:rsid w:val="007703D0"/>
    <w:rsid w:val="007704BC"/>
    <w:rsid w:val="0077066E"/>
    <w:rsid w:val="00771076"/>
    <w:rsid w:val="0077118A"/>
    <w:rsid w:val="0077156D"/>
    <w:rsid w:val="00772242"/>
    <w:rsid w:val="007723C8"/>
    <w:rsid w:val="00772482"/>
    <w:rsid w:val="007731B6"/>
    <w:rsid w:val="0077345D"/>
    <w:rsid w:val="00773A42"/>
    <w:rsid w:val="00773AA2"/>
    <w:rsid w:val="00773DD8"/>
    <w:rsid w:val="00776A65"/>
    <w:rsid w:val="00776B30"/>
    <w:rsid w:val="00777DFF"/>
    <w:rsid w:val="0078095D"/>
    <w:rsid w:val="0078201B"/>
    <w:rsid w:val="007821B1"/>
    <w:rsid w:val="007842EA"/>
    <w:rsid w:val="00784567"/>
    <w:rsid w:val="00786290"/>
    <w:rsid w:val="00786D4F"/>
    <w:rsid w:val="007903C6"/>
    <w:rsid w:val="00791C9A"/>
    <w:rsid w:val="00791D8E"/>
    <w:rsid w:val="007926E7"/>
    <w:rsid w:val="00792E4C"/>
    <w:rsid w:val="00793AAA"/>
    <w:rsid w:val="00794504"/>
    <w:rsid w:val="007955E9"/>
    <w:rsid w:val="0079604D"/>
    <w:rsid w:val="00796231"/>
    <w:rsid w:val="007965C5"/>
    <w:rsid w:val="007969D9"/>
    <w:rsid w:val="00797450"/>
    <w:rsid w:val="00797985"/>
    <w:rsid w:val="007979AF"/>
    <w:rsid w:val="007A0EA6"/>
    <w:rsid w:val="007A25DC"/>
    <w:rsid w:val="007A3136"/>
    <w:rsid w:val="007A415D"/>
    <w:rsid w:val="007A4AB5"/>
    <w:rsid w:val="007A4B51"/>
    <w:rsid w:val="007A5021"/>
    <w:rsid w:val="007A557B"/>
    <w:rsid w:val="007A5B62"/>
    <w:rsid w:val="007A68D2"/>
    <w:rsid w:val="007B0049"/>
    <w:rsid w:val="007B123C"/>
    <w:rsid w:val="007B14C7"/>
    <w:rsid w:val="007B14ED"/>
    <w:rsid w:val="007B2B55"/>
    <w:rsid w:val="007B2DB4"/>
    <w:rsid w:val="007B3350"/>
    <w:rsid w:val="007B35E5"/>
    <w:rsid w:val="007B41AA"/>
    <w:rsid w:val="007B543E"/>
    <w:rsid w:val="007B5B98"/>
    <w:rsid w:val="007B7DF7"/>
    <w:rsid w:val="007C10C5"/>
    <w:rsid w:val="007C1A51"/>
    <w:rsid w:val="007C2877"/>
    <w:rsid w:val="007C28B9"/>
    <w:rsid w:val="007C2AC8"/>
    <w:rsid w:val="007C2F2B"/>
    <w:rsid w:val="007C4041"/>
    <w:rsid w:val="007C4DD8"/>
    <w:rsid w:val="007C53B2"/>
    <w:rsid w:val="007C571D"/>
    <w:rsid w:val="007C6D76"/>
    <w:rsid w:val="007C7456"/>
    <w:rsid w:val="007C76B3"/>
    <w:rsid w:val="007D0BB3"/>
    <w:rsid w:val="007D313C"/>
    <w:rsid w:val="007D42EB"/>
    <w:rsid w:val="007D44E1"/>
    <w:rsid w:val="007D4E56"/>
    <w:rsid w:val="007D65E1"/>
    <w:rsid w:val="007D69DA"/>
    <w:rsid w:val="007D7012"/>
    <w:rsid w:val="007D7AF1"/>
    <w:rsid w:val="007E0643"/>
    <w:rsid w:val="007E07D5"/>
    <w:rsid w:val="007E12EF"/>
    <w:rsid w:val="007E1319"/>
    <w:rsid w:val="007E154D"/>
    <w:rsid w:val="007E1F2B"/>
    <w:rsid w:val="007E3078"/>
    <w:rsid w:val="007E4120"/>
    <w:rsid w:val="007E4229"/>
    <w:rsid w:val="007E4A86"/>
    <w:rsid w:val="007E4C1C"/>
    <w:rsid w:val="007E56D9"/>
    <w:rsid w:val="007E5E58"/>
    <w:rsid w:val="007E655D"/>
    <w:rsid w:val="007E7973"/>
    <w:rsid w:val="007F2751"/>
    <w:rsid w:val="007F2BC7"/>
    <w:rsid w:val="007F2FF6"/>
    <w:rsid w:val="007F3354"/>
    <w:rsid w:val="007F40A9"/>
    <w:rsid w:val="007F440E"/>
    <w:rsid w:val="007F44B8"/>
    <w:rsid w:val="007F5655"/>
    <w:rsid w:val="007F59CE"/>
    <w:rsid w:val="007F6E78"/>
    <w:rsid w:val="007F7899"/>
    <w:rsid w:val="007F79F3"/>
    <w:rsid w:val="008000E7"/>
    <w:rsid w:val="00800A88"/>
    <w:rsid w:val="00803D63"/>
    <w:rsid w:val="008040BD"/>
    <w:rsid w:val="0080567A"/>
    <w:rsid w:val="00805866"/>
    <w:rsid w:val="00805921"/>
    <w:rsid w:val="00805B72"/>
    <w:rsid w:val="00805FA8"/>
    <w:rsid w:val="00806D1C"/>
    <w:rsid w:val="00807765"/>
    <w:rsid w:val="00807BFD"/>
    <w:rsid w:val="008105C9"/>
    <w:rsid w:val="008110C0"/>
    <w:rsid w:val="008138DE"/>
    <w:rsid w:val="00814634"/>
    <w:rsid w:val="008147FC"/>
    <w:rsid w:val="00814E04"/>
    <w:rsid w:val="00815F17"/>
    <w:rsid w:val="008204FE"/>
    <w:rsid w:val="008211A4"/>
    <w:rsid w:val="00821268"/>
    <w:rsid w:val="0082154A"/>
    <w:rsid w:val="00822435"/>
    <w:rsid w:val="008235AE"/>
    <w:rsid w:val="008235BF"/>
    <w:rsid w:val="008249B7"/>
    <w:rsid w:val="00824E73"/>
    <w:rsid w:val="0082530C"/>
    <w:rsid w:val="00827719"/>
    <w:rsid w:val="00830C18"/>
    <w:rsid w:val="0083157E"/>
    <w:rsid w:val="00831651"/>
    <w:rsid w:val="008319D3"/>
    <w:rsid w:val="00832140"/>
    <w:rsid w:val="008326AA"/>
    <w:rsid w:val="00832885"/>
    <w:rsid w:val="00832AE8"/>
    <w:rsid w:val="00832C3F"/>
    <w:rsid w:val="00833F00"/>
    <w:rsid w:val="0083437B"/>
    <w:rsid w:val="008348A5"/>
    <w:rsid w:val="00834BFD"/>
    <w:rsid w:val="008351AB"/>
    <w:rsid w:val="008355F9"/>
    <w:rsid w:val="0083690B"/>
    <w:rsid w:val="00836BBD"/>
    <w:rsid w:val="008375B3"/>
    <w:rsid w:val="008379A8"/>
    <w:rsid w:val="00837C06"/>
    <w:rsid w:val="00840100"/>
    <w:rsid w:val="00840554"/>
    <w:rsid w:val="008414E8"/>
    <w:rsid w:val="00841930"/>
    <w:rsid w:val="008425AE"/>
    <w:rsid w:val="00843141"/>
    <w:rsid w:val="0084314A"/>
    <w:rsid w:val="00843721"/>
    <w:rsid w:val="0084392D"/>
    <w:rsid w:val="00843C15"/>
    <w:rsid w:val="00843EC2"/>
    <w:rsid w:val="008442B6"/>
    <w:rsid w:val="00845C14"/>
    <w:rsid w:val="00846306"/>
    <w:rsid w:val="00847182"/>
    <w:rsid w:val="00847989"/>
    <w:rsid w:val="00847C91"/>
    <w:rsid w:val="0085074F"/>
    <w:rsid w:val="00850DE1"/>
    <w:rsid w:val="00852935"/>
    <w:rsid w:val="00852DDE"/>
    <w:rsid w:val="0085426E"/>
    <w:rsid w:val="00854549"/>
    <w:rsid w:val="00857587"/>
    <w:rsid w:val="008614BE"/>
    <w:rsid w:val="00861A26"/>
    <w:rsid w:val="00862BA3"/>
    <w:rsid w:val="00862F0E"/>
    <w:rsid w:val="0086333E"/>
    <w:rsid w:val="00863390"/>
    <w:rsid w:val="008639D8"/>
    <w:rsid w:val="00863D1F"/>
    <w:rsid w:val="008643C5"/>
    <w:rsid w:val="00864494"/>
    <w:rsid w:val="00865C09"/>
    <w:rsid w:val="00865C98"/>
    <w:rsid w:val="00866851"/>
    <w:rsid w:val="00867303"/>
    <w:rsid w:val="00867603"/>
    <w:rsid w:val="008702F2"/>
    <w:rsid w:val="00870634"/>
    <w:rsid w:val="008706D1"/>
    <w:rsid w:val="0087153A"/>
    <w:rsid w:val="008731C5"/>
    <w:rsid w:val="00873DDC"/>
    <w:rsid w:val="00874F85"/>
    <w:rsid w:val="00875258"/>
    <w:rsid w:val="0087575B"/>
    <w:rsid w:val="00875EEE"/>
    <w:rsid w:val="00877511"/>
    <w:rsid w:val="008776E0"/>
    <w:rsid w:val="00877E71"/>
    <w:rsid w:val="008809D0"/>
    <w:rsid w:val="00880A5E"/>
    <w:rsid w:val="00880FE3"/>
    <w:rsid w:val="00881FA8"/>
    <w:rsid w:val="00882646"/>
    <w:rsid w:val="00882A04"/>
    <w:rsid w:val="00882AF6"/>
    <w:rsid w:val="00882C11"/>
    <w:rsid w:val="008832CD"/>
    <w:rsid w:val="008836FB"/>
    <w:rsid w:val="00883E0D"/>
    <w:rsid w:val="00885191"/>
    <w:rsid w:val="008858A9"/>
    <w:rsid w:val="00885934"/>
    <w:rsid w:val="00885E25"/>
    <w:rsid w:val="0089075D"/>
    <w:rsid w:val="0089092D"/>
    <w:rsid w:val="00890FAA"/>
    <w:rsid w:val="00891213"/>
    <w:rsid w:val="00891265"/>
    <w:rsid w:val="00893F64"/>
    <w:rsid w:val="008941A2"/>
    <w:rsid w:val="00894958"/>
    <w:rsid w:val="00894976"/>
    <w:rsid w:val="00894CE7"/>
    <w:rsid w:val="008958CA"/>
    <w:rsid w:val="00895FD0"/>
    <w:rsid w:val="008961EA"/>
    <w:rsid w:val="008968AF"/>
    <w:rsid w:val="0089774E"/>
    <w:rsid w:val="0089792B"/>
    <w:rsid w:val="00897E89"/>
    <w:rsid w:val="008A0105"/>
    <w:rsid w:val="008A0E9D"/>
    <w:rsid w:val="008A1F39"/>
    <w:rsid w:val="008A478A"/>
    <w:rsid w:val="008A48C7"/>
    <w:rsid w:val="008A4FD3"/>
    <w:rsid w:val="008A6A26"/>
    <w:rsid w:val="008A7545"/>
    <w:rsid w:val="008A780F"/>
    <w:rsid w:val="008B0248"/>
    <w:rsid w:val="008B060F"/>
    <w:rsid w:val="008B1414"/>
    <w:rsid w:val="008B1876"/>
    <w:rsid w:val="008B4814"/>
    <w:rsid w:val="008B5909"/>
    <w:rsid w:val="008B5BC4"/>
    <w:rsid w:val="008B6B8A"/>
    <w:rsid w:val="008B71F2"/>
    <w:rsid w:val="008B7827"/>
    <w:rsid w:val="008B7D15"/>
    <w:rsid w:val="008C0B0C"/>
    <w:rsid w:val="008C25C0"/>
    <w:rsid w:val="008C4648"/>
    <w:rsid w:val="008C5172"/>
    <w:rsid w:val="008C519F"/>
    <w:rsid w:val="008C5A9A"/>
    <w:rsid w:val="008C6714"/>
    <w:rsid w:val="008C7D6A"/>
    <w:rsid w:val="008D02C4"/>
    <w:rsid w:val="008D089F"/>
    <w:rsid w:val="008D0F1D"/>
    <w:rsid w:val="008D11AE"/>
    <w:rsid w:val="008D22BD"/>
    <w:rsid w:val="008D2C1B"/>
    <w:rsid w:val="008D326F"/>
    <w:rsid w:val="008D4070"/>
    <w:rsid w:val="008D5153"/>
    <w:rsid w:val="008D559B"/>
    <w:rsid w:val="008D5606"/>
    <w:rsid w:val="008D58EE"/>
    <w:rsid w:val="008D61B4"/>
    <w:rsid w:val="008E0B54"/>
    <w:rsid w:val="008E1698"/>
    <w:rsid w:val="008E2734"/>
    <w:rsid w:val="008E2E9F"/>
    <w:rsid w:val="008E3B51"/>
    <w:rsid w:val="008E40E3"/>
    <w:rsid w:val="008E4694"/>
    <w:rsid w:val="008E5340"/>
    <w:rsid w:val="008E5783"/>
    <w:rsid w:val="008E59CC"/>
    <w:rsid w:val="008E61B9"/>
    <w:rsid w:val="008E6374"/>
    <w:rsid w:val="008E6376"/>
    <w:rsid w:val="008E65FC"/>
    <w:rsid w:val="008E6605"/>
    <w:rsid w:val="008E6980"/>
    <w:rsid w:val="008E7760"/>
    <w:rsid w:val="008E7EA6"/>
    <w:rsid w:val="008E7FDD"/>
    <w:rsid w:val="008F138E"/>
    <w:rsid w:val="008F3F0A"/>
    <w:rsid w:val="008F3F5E"/>
    <w:rsid w:val="008F4A8D"/>
    <w:rsid w:val="008F68A3"/>
    <w:rsid w:val="008F6950"/>
    <w:rsid w:val="008F6BA3"/>
    <w:rsid w:val="008F6E0E"/>
    <w:rsid w:val="008F6F49"/>
    <w:rsid w:val="008F725D"/>
    <w:rsid w:val="008F7C31"/>
    <w:rsid w:val="0090597B"/>
    <w:rsid w:val="00906FAF"/>
    <w:rsid w:val="00907D10"/>
    <w:rsid w:val="0091003D"/>
    <w:rsid w:val="00910285"/>
    <w:rsid w:val="009106CC"/>
    <w:rsid w:val="009109D2"/>
    <w:rsid w:val="0091214A"/>
    <w:rsid w:val="00912385"/>
    <w:rsid w:val="00912678"/>
    <w:rsid w:val="00912F64"/>
    <w:rsid w:val="00913BD1"/>
    <w:rsid w:val="0091429E"/>
    <w:rsid w:val="0091462A"/>
    <w:rsid w:val="009147E2"/>
    <w:rsid w:val="00915925"/>
    <w:rsid w:val="00915F68"/>
    <w:rsid w:val="009160B3"/>
    <w:rsid w:val="0091746D"/>
    <w:rsid w:val="00921360"/>
    <w:rsid w:val="009227E9"/>
    <w:rsid w:val="00922C55"/>
    <w:rsid w:val="00923347"/>
    <w:rsid w:val="009240D6"/>
    <w:rsid w:val="00924E29"/>
    <w:rsid w:val="00925B89"/>
    <w:rsid w:val="00925F87"/>
    <w:rsid w:val="0092678D"/>
    <w:rsid w:val="00927CE6"/>
    <w:rsid w:val="00927F10"/>
    <w:rsid w:val="0093034B"/>
    <w:rsid w:val="009303AE"/>
    <w:rsid w:val="0093043B"/>
    <w:rsid w:val="00930661"/>
    <w:rsid w:val="00930AFD"/>
    <w:rsid w:val="00931924"/>
    <w:rsid w:val="009322D9"/>
    <w:rsid w:val="00933930"/>
    <w:rsid w:val="00933A32"/>
    <w:rsid w:val="00934718"/>
    <w:rsid w:val="0093474A"/>
    <w:rsid w:val="0093538C"/>
    <w:rsid w:val="009365A2"/>
    <w:rsid w:val="00936ADF"/>
    <w:rsid w:val="009378C9"/>
    <w:rsid w:val="00940069"/>
    <w:rsid w:val="00940740"/>
    <w:rsid w:val="0094084C"/>
    <w:rsid w:val="00940A9E"/>
    <w:rsid w:val="00940C60"/>
    <w:rsid w:val="009415BB"/>
    <w:rsid w:val="00941605"/>
    <w:rsid w:val="00941639"/>
    <w:rsid w:val="00942031"/>
    <w:rsid w:val="009433FF"/>
    <w:rsid w:val="00943933"/>
    <w:rsid w:val="00944D49"/>
    <w:rsid w:val="009450A4"/>
    <w:rsid w:val="009465C9"/>
    <w:rsid w:val="00946881"/>
    <w:rsid w:val="0094690D"/>
    <w:rsid w:val="009472C0"/>
    <w:rsid w:val="009477F0"/>
    <w:rsid w:val="0095166E"/>
    <w:rsid w:val="00951CAE"/>
    <w:rsid w:val="00951D33"/>
    <w:rsid w:val="00952C55"/>
    <w:rsid w:val="00952E27"/>
    <w:rsid w:val="00954216"/>
    <w:rsid w:val="0095429D"/>
    <w:rsid w:val="009542B2"/>
    <w:rsid w:val="00954325"/>
    <w:rsid w:val="00954A0E"/>
    <w:rsid w:val="00954BEC"/>
    <w:rsid w:val="00954EF7"/>
    <w:rsid w:val="00955AA3"/>
    <w:rsid w:val="00955BDB"/>
    <w:rsid w:val="00955FBE"/>
    <w:rsid w:val="00956844"/>
    <w:rsid w:val="00956D69"/>
    <w:rsid w:val="00957E4A"/>
    <w:rsid w:val="0096062C"/>
    <w:rsid w:val="009611E1"/>
    <w:rsid w:val="00962747"/>
    <w:rsid w:val="00962D47"/>
    <w:rsid w:val="00963A27"/>
    <w:rsid w:val="00964757"/>
    <w:rsid w:val="00964B43"/>
    <w:rsid w:val="00964B44"/>
    <w:rsid w:val="00965D12"/>
    <w:rsid w:val="009663FB"/>
    <w:rsid w:val="00966E41"/>
    <w:rsid w:val="00967317"/>
    <w:rsid w:val="009678ED"/>
    <w:rsid w:val="00967CEE"/>
    <w:rsid w:val="0097032C"/>
    <w:rsid w:val="009715EA"/>
    <w:rsid w:val="00971B6B"/>
    <w:rsid w:val="009723D9"/>
    <w:rsid w:val="0097394F"/>
    <w:rsid w:val="00973CAB"/>
    <w:rsid w:val="00974247"/>
    <w:rsid w:val="0097518A"/>
    <w:rsid w:val="0097563E"/>
    <w:rsid w:val="009759EF"/>
    <w:rsid w:val="009775F3"/>
    <w:rsid w:val="0097783C"/>
    <w:rsid w:val="00977895"/>
    <w:rsid w:val="00977C35"/>
    <w:rsid w:val="00980E3E"/>
    <w:rsid w:val="00981780"/>
    <w:rsid w:val="00982E12"/>
    <w:rsid w:val="009847F3"/>
    <w:rsid w:val="009858CA"/>
    <w:rsid w:val="0098605A"/>
    <w:rsid w:val="00987604"/>
    <w:rsid w:val="00987620"/>
    <w:rsid w:val="0099174F"/>
    <w:rsid w:val="00992564"/>
    <w:rsid w:val="00992793"/>
    <w:rsid w:val="00993826"/>
    <w:rsid w:val="00993913"/>
    <w:rsid w:val="00995239"/>
    <w:rsid w:val="009964EC"/>
    <w:rsid w:val="009969C3"/>
    <w:rsid w:val="0099759D"/>
    <w:rsid w:val="0099783B"/>
    <w:rsid w:val="009A0AA6"/>
    <w:rsid w:val="009A0D32"/>
    <w:rsid w:val="009A1745"/>
    <w:rsid w:val="009A1802"/>
    <w:rsid w:val="009A20E0"/>
    <w:rsid w:val="009A2332"/>
    <w:rsid w:val="009A2753"/>
    <w:rsid w:val="009A2907"/>
    <w:rsid w:val="009A3292"/>
    <w:rsid w:val="009A37A4"/>
    <w:rsid w:val="009A387F"/>
    <w:rsid w:val="009A404C"/>
    <w:rsid w:val="009A5E89"/>
    <w:rsid w:val="009A5F88"/>
    <w:rsid w:val="009B054E"/>
    <w:rsid w:val="009B0C57"/>
    <w:rsid w:val="009B19BF"/>
    <w:rsid w:val="009B2802"/>
    <w:rsid w:val="009B3343"/>
    <w:rsid w:val="009B3CFE"/>
    <w:rsid w:val="009B5B52"/>
    <w:rsid w:val="009B5E65"/>
    <w:rsid w:val="009B6530"/>
    <w:rsid w:val="009B721B"/>
    <w:rsid w:val="009C11B7"/>
    <w:rsid w:val="009C1F22"/>
    <w:rsid w:val="009C2AC8"/>
    <w:rsid w:val="009C2EE1"/>
    <w:rsid w:val="009C377A"/>
    <w:rsid w:val="009C3F45"/>
    <w:rsid w:val="009C4495"/>
    <w:rsid w:val="009C623E"/>
    <w:rsid w:val="009C6AC1"/>
    <w:rsid w:val="009C75BC"/>
    <w:rsid w:val="009C7D3A"/>
    <w:rsid w:val="009D030D"/>
    <w:rsid w:val="009D211F"/>
    <w:rsid w:val="009D2C9E"/>
    <w:rsid w:val="009D302A"/>
    <w:rsid w:val="009D3191"/>
    <w:rsid w:val="009D3737"/>
    <w:rsid w:val="009D4401"/>
    <w:rsid w:val="009D5E42"/>
    <w:rsid w:val="009D6D21"/>
    <w:rsid w:val="009D7493"/>
    <w:rsid w:val="009E09EA"/>
    <w:rsid w:val="009E0B0E"/>
    <w:rsid w:val="009E0C97"/>
    <w:rsid w:val="009E1143"/>
    <w:rsid w:val="009E164A"/>
    <w:rsid w:val="009E1DDC"/>
    <w:rsid w:val="009E2E61"/>
    <w:rsid w:val="009E3D29"/>
    <w:rsid w:val="009E4114"/>
    <w:rsid w:val="009E52F1"/>
    <w:rsid w:val="009E5490"/>
    <w:rsid w:val="009E58E1"/>
    <w:rsid w:val="009E5938"/>
    <w:rsid w:val="009E628E"/>
    <w:rsid w:val="009E63E7"/>
    <w:rsid w:val="009E6711"/>
    <w:rsid w:val="009E79B9"/>
    <w:rsid w:val="009F0092"/>
    <w:rsid w:val="009F04DE"/>
    <w:rsid w:val="009F2383"/>
    <w:rsid w:val="009F2673"/>
    <w:rsid w:val="009F3915"/>
    <w:rsid w:val="009F4F2B"/>
    <w:rsid w:val="009F6833"/>
    <w:rsid w:val="00A003AF"/>
    <w:rsid w:val="00A01137"/>
    <w:rsid w:val="00A01284"/>
    <w:rsid w:val="00A01AB3"/>
    <w:rsid w:val="00A02CD0"/>
    <w:rsid w:val="00A03363"/>
    <w:rsid w:val="00A033DD"/>
    <w:rsid w:val="00A041E6"/>
    <w:rsid w:val="00A04DD2"/>
    <w:rsid w:val="00A05894"/>
    <w:rsid w:val="00A0730A"/>
    <w:rsid w:val="00A07C71"/>
    <w:rsid w:val="00A10B6D"/>
    <w:rsid w:val="00A10E80"/>
    <w:rsid w:val="00A11FBF"/>
    <w:rsid w:val="00A12D5C"/>
    <w:rsid w:val="00A13154"/>
    <w:rsid w:val="00A133B9"/>
    <w:rsid w:val="00A14703"/>
    <w:rsid w:val="00A14AA7"/>
    <w:rsid w:val="00A15D30"/>
    <w:rsid w:val="00A15EBF"/>
    <w:rsid w:val="00A16394"/>
    <w:rsid w:val="00A16EC9"/>
    <w:rsid w:val="00A17AA5"/>
    <w:rsid w:val="00A215DA"/>
    <w:rsid w:val="00A21663"/>
    <w:rsid w:val="00A2199C"/>
    <w:rsid w:val="00A22A97"/>
    <w:rsid w:val="00A24D95"/>
    <w:rsid w:val="00A24DA4"/>
    <w:rsid w:val="00A2605C"/>
    <w:rsid w:val="00A2606C"/>
    <w:rsid w:val="00A26432"/>
    <w:rsid w:val="00A26A74"/>
    <w:rsid w:val="00A26B77"/>
    <w:rsid w:val="00A26DA3"/>
    <w:rsid w:val="00A30332"/>
    <w:rsid w:val="00A305DB"/>
    <w:rsid w:val="00A30BAC"/>
    <w:rsid w:val="00A30C6A"/>
    <w:rsid w:val="00A31411"/>
    <w:rsid w:val="00A32E89"/>
    <w:rsid w:val="00A345BE"/>
    <w:rsid w:val="00A352BC"/>
    <w:rsid w:val="00A3590B"/>
    <w:rsid w:val="00A35C84"/>
    <w:rsid w:val="00A36262"/>
    <w:rsid w:val="00A36DD6"/>
    <w:rsid w:val="00A375CC"/>
    <w:rsid w:val="00A404A0"/>
    <w:rsid w:val="00A40CEF"/>
    <w:rsid w:val="00A40F46"/>
    <w:rsid w:val="00A41035"/>
    <w:rsid w:val="00A413DC"/>
    <w:rsid w:val="00A429C3"/>
    <w:rsid w:val="00A43981"/>
    <w:rsid w:val="00A43DCB"/>
    <w:rsid w:val="00A441C8"/>
    <w:rsid w:val="00A44C5D"/>
    <w:rsid w:val="00A455C8"/>
    <w:rsid w:val="00A458A1"/>
    <w:rsid w:val="00A473B9"/>
    <w:rsid w:val="00A479BB"/>
    <w:rsid w:val="00A503DF"/>
    <w:rsid w:val="00A50516"/>
    <w:rsid w:val="00A522EB"/>
    <w:rsid w:val="00A52DD9"/>
    <w:rsid w:val="00A5674D"/>
    <w:rsid w:val="00A56C7B"/>
    <w:rsid w:val="00A5718B"/>
    <w:rsid w:val="00A5744C"/>
    <w:rsid w:val="00A57FBB"/>
    <w:rsid w:val="00A61702"/>
    <w:rsid w:val="00A617FF"/>
    <w:rsid w:val="00A61F01"/>
    <w:rsid w:val="00A62574"/>
    <w:rsid w:val="00A637A4"/>
    <w:rsid w:val="00A63B6D"/>
    <w:rsid w:val="00A64043"/>
    <w:rsid w:val="00A66A22"/>
    <w:rsid w:val="00A66AE1"/>
    <w:rsid w:val="00A66E02"/>
    <w:rsid w:val="00A708E3"/>
    <w:rsid w:val="00A70BBD"/>
    <w:rsid w:val="00A72842"/>
    <w:rsid w:val="00A72B01"/>
    <w:rsid w:val="00A73383"/>
    <w:rsid w:val="00A7441B"/>
    <w:rsid w:val="00A74845"/>
    <w:rsid w:val="00A76A54"/>
    <w:rsid w:val="00A825D3"/>
    <w:rsid w:val="00A8312E"/>
    <w:rsid w:val="00A83FDB"/>
    <w:rsid w:val="00A8400D"/>
    <w:rsid w:val="00A84213"/>
    <w:rsid w:val="00A845CB"/>
    <w:rsid w:val="00A852D0"/>
    <w:rsid w:val="00A85F1B"/>
    <w:rsid w:val="00A86C08"/>
    <w:rsid w:val="00A879D5"/>
    <w:rsid w:val="00A90031"/>
    <w:rsid w:val="00A90282"/>
    <w:rsid w:val="00A90F17"/>
    <w:rsid w:val="00A910EB"/>
    <w:rsid w:val="00A91C50"/>
    <w:rsid w:val="00A92E81"/>
    <w:rsid w:val="00A9361F"/>
    <w:rsid w:val="00A93F33"/>
    <w:rsid w:val="00A941A6"/>
    <w:rsid w:val="00A947E1"/>
    <w:rsid w:val="00A94C1B"/>
    <w:rsid w:val="00A94EBB"/>
    <w:rsid w:val="00A95438"/>
    <w:rsid w:val="00A955A0"/>
    <w:rsid w:val="00A96540"/>
    <w:rsid w:val="00A9665B"/>
    <w:rsid w:val="00A978B9"/>
    <w:rsid w:val="00A978E2"/>
    <w:rsid w:val="00AA0BA1"/>
    <w:rsid w:val="00AA0C53"/>
    <w:rsid w:val="00AA0DD7"/>
    <w:rsid w:val="00AA3081"/>
    <w:rsid w:val="00AA3386"/>
    <w:rsid w:val="00AA3E58"/>
    <w:rsid w:val="00AA4D60"/>
    <w:rsid w:val="00AA5023"/>
    <w:rsid w:val="00AA59C1"/>
    <w:rsid w:val="00AA6077"/>
    <w:rsid w:val="00AA624F"/>
    <w:rsid w:val="00AA687C"/>
    <w:rsid w:val="00AA6E82"/>
    <w:rsid w:val="00AA7426"/>
    <w:rsid w:val="00AA7B42"/>
    <w:rsid w:val="00AA7B43"/>
    <w:rsid w:val="00AA7D84"/>
    <w:rsid w:val="00AB006E"/>
    <w:rsid w:val="00AB15FB"/>
    <w:rsid w:val="00AB1A78"/>
    <w:rsid w:val="00AB2D3E"/>
    <w:rsid w:val="00AB369B"/>
    <w:rsid w:val="00AB3B46"/>
    <w:rsid w:val="00AB3D33"/>
    <w:rsid w:val="00AB47C9"/>
    <w:rsid w:val="00AB4A16"/>
    <w:rsid w:val="00AB4F86"/>
    <w:rsid w:val="00AB5EA1"/>
    <w:rsid w:val="00AB6F2D"/>
    <w:rsid w:val="00AB7004"/>
    <w:rsid w:val="00AB74AF"/>
    <w:rsid w:val="00AB7CC5"/>
    <w:rsid w:val="00AB7ECE"/>
    <w:rsid w:val="00AC0FD2"/>
    <w:rsid w:val="00AC2D53"/>
    <w:rsid w:val="00AC338F"/>
    <w:rsid w:val="00AC34FB"/>
    <w:rsid w:val="00AC41F4"/>
    <w:rsid w:val="00AC42A7"/>
    <w:rsid w:val="00AC4825"/>
    <w:rsid w:val="00AC4E65"/>
    <w:rsid w:val="00AC5BD2"/>
    <w:rsid w:val="00AC66F9"/>
    <w:rsid w:val="00AC677C"/>
    <w:rsid w:val="00AC79D1"/>
    <w:rsid w:val="00AD014E"/>
    <w:rsid w:val="00AD0CFB"/>
    <w:rsid w:val="00AD1352"/>
    <w:rsid w:val="00AD1F9A"/>
    <w:rsid w:val="00AD29ED"/>
    <w:rsid w:val="00AD433A"/>
    <w:rsid w:val="00AD637F"/>
    <w:rsid w:val="00AD6A09"/>
    <w:rsid w:val="00AD74CB"/>
    <w:rsid w:val="00AE01E3"/>
    <w:rsid w:val="00AE09AF"/>
    <w:rsid w:val="00AE13FD"/>
    <w:rsid w:val="00AE21D7"/>
    <w:rsid w:val="00AE29DF"/>
    <w:rsid w:val="00AE2BDD"/>
    <w:rsid w:val="00AE3660"/>
    <w:rsid w:val="00AE46C3"/>
    <w:rsid w:val="00AE482D"/>
    <w:rsid w:val="00AE50AF"/>
    <w:rsid w:val="00AE5495"/>
    <w:rsid w:val="00AE54D8"/>
    <w:rsid w:val="00AE61C7"/>
    <w:rsid w:val="00AE6254"/>
    <w:rsid w:val="00AE62DF"/>
    <w:rsid w:val="00AE6DDB"/>
    <w:rsid w:val="00AE7485"/>
    <w:rsid w:val="00AE76A2"/>
    <w:rsid w:val="00AF0CB3"/>
    <w:rsid w:val="00AF39EE"/>
    <w:rsid w:val="00AF3A27"/>
    <w:rsid w:val="00AF421B"/>
    <w:rsid w:val="00AF4377"/>
    <w:rsid w:val="00AF4549"/>
    <w:rsid w:val="00AF5C3E"/>
    <w:rsid w:val="00AF5C4B"/>
    <w:rsid w:val="00AF6900"/>
    <w:rsid w:val="00AF6BCE"/>
    <w:rsid w:val="00AF70BA"/>
    <w:rsid w:val="00AF7289"/>
    <w:rsid w:val="00AF79A7"/>
    <w:rsid w:val="00AF7E9B"/>
    <w:rsid w:val="00B00632"/>
    <w:rsid w:val="00B00CB5"/>
    <w:rsid w:val="00B017BE"/>
    <w:rsid w:val="00B017C7"/>
    <w:rsid w:val="00B0279D"/>
    <w:rsid w:val="00B02999"/>
    <w:rsid w:val="00B029D0"/>
    <w:rsid w:val="00B02E0B"/>
    <w:rsid w:val="00B03070"/>
    <w:rsid w:val="00B03FCA"/>
    <w:rsid w:val="00B042C5"/>
    <w:rsid w:val="00B04967"/>
    <w:rsid w:val="00B04AB2"/>
    <w:rsid w:val="00B05309"/>
    <w:rsid w:val="00B05875"/>
    <w:rsid w:val="00B05DD6"/>
    <w:rsid w:val="00B101EC"/>
    <w:rsid w:val="00B10489"/>
    <w:rsid w:val="00B10939"/>
    <w:rsid w:val="00B10A0D"/>
    <w:rsid w:val="00B11A5B"/>
    <w:rsid w:val="00B12931"/>
    <w:rsid w:val="00B12ACC"/>
    <w:rsid w:val="00B13589"/>
    <w:rsid w:val="00B13DC0"/>
    <w:rsid w:val="00B15196"/>
    <w:rsid w:val="00B153BC"/>
    <w:rsid w:val="00B15E88"/>
    <w:rsid w:val="00B16975"/>
    <w:rsid w:val="00B177B0"/>
    <w:rsid w:val="00B17AEB"/>
    <w:rsid w:val="00B205A1"/>
    <w:rsid w:val="00B22172"/>
    <w:rsid w:val="00B22B31"/>
    <w:rsid w:val="00B24583"/>
    <w:rsid w:val="00B25729"/>
    <w:rsid w:val="00B25D85"/>
    <w:rsid w:val="00B27AE5"/>
    <w:rsid w:val="00B30D72"/>
    <w:rsid w:val="00B320D2"/>
    <w:rsid w:val="00B334CC"/>
    <w:rsid w:val="00B33AC7"/>
    <w:rsid w:val="00B33F3F"/>
    <w:rsid w:val="00B346B5"/>
    <w:rsid w:val="00B35224"/>
    <w:rsid w:val="00B35235"/>
    <w:rsid w:val="00B3619A"/>
    <w:rsid w:val="00B36F8D"/>
    <w:rsid w:val="00B372B6"/>
    <w:rsid w:val="00B3735B"/>
    <w:rsid w:val="00B37891"/>
    <w:rsid w:val="00B406BD"/>
    <w:rsid w:val="00B41BAC"/>
    <w:rsid w:val="00B41D23"/>
    <w:rsid w:val="00B41E9B"/>
    <w:rsid w:val="00B4291C"/>
    <w:rsid w:val="00B431FC"/>
    <w:rsid w:val="00B4348E"/>
    <w:rsid w:val="00B436B4"/>
    <w:rsid w:val="00B43C90"/>
    <w:rsid w:val="00B444AB"/>
    <w:rsid w:val="00B45601"/>
    <w:rsid w:val="00B45B87"/>
    <w:rsid w:val="00B474D6"/>
    <w:rsid w:val="00B505B1"/>
    <w:rsid w:val="00B5063F"/>
    <w:rsid w:val="00B51C48"/>
    <w:rsid w:val="00B5333F"/>
    <w:rsid w:val="00B539B2"/>
    <w:rsid w:val="00B5443A"/>
    <w:rsid w:val="00B54618"/>
    <w:rsid w:val="00B55942"/>
    <w:rsid w:val="00B559B6"/>
    <w:rsid w:val="00B56294"/>
    <w:rsid w:val="00B564C0"/>
    <w:rsid w:val="00B565D7"/>
    <w:rsid w:val="00B56EB4"/>
    <w:rsid w:val="00B63DC9"/>
    <w:rsid w:val="00B6422F"/>
    <w:rsid w:val="00B650BE"/>
    <w:rsid w:val="00B65257"/>
    <w:rsid w:val="00B65504"/>
    <w:rsid w:val="00B65522"/>
    <w:rsid w:val="00B656B9"/>
    <w:rsid w:val="00B65AC5"/>
    <w:rsid w:val="00B65E44"/>
    <w:rsid w:val="00B664EE"/>
    <w:rsid w:val="00B665E1"/>
    <w:rsid w:val="00B6702B"/>
    <w:rsid w:val="00B6755A"/>
    <w:rsid w:val="00B67D2A"/>
    <w:rsid w:val="00B729D0"/>
    <w:rsid w:val="00B7330D"/>
    <w:rsid w:val="00B735B6"/>
    <w:rsid w:val="00B75143"/>
    <w:rsid w:val="00B751BF"/>
    <w:rsid w:val="00B75423"/>
    <w:rsid w:val="00B76F91"/>
    <w:rsid w:val="00B77404"/>
    <w:rsid w:val="00B77EEE"/>
    <w:rsid w:val="00B803B0"/>
    <w:rsid w:val="00B80D35"/>
    <w:rsid w:val="00B80E0C"/>
    <w:rsid w:val="00B813FA"/>
    <w:rsid w:val="00B81708"/>
    <w:rsid w:val="00B818CC"/>
    <w:rsid w:val="00B81CB4"/>
    <w:rsid w:val="00B82959"/>
    <w:rsid w:val="00B82D75"/>
    <w:rsid w:val="00B82DAE"/>
    <w:rsid w:val="00B8432A"/>
    <w:rsid w:val="00B84A9A"/>
    <w:rsid w:val="00B84B4D"/>
    <w:rsid w:val="00B84C3F"/>
    <w:rsid w:val="00B85B43"/>
    <w:rsid w:val="00B86F24"/>
    <w:rsid w:val="00B9087E"/>
    <w:rsid w:val="00B914CB"/>
    <w:rsid w:val="00B9291C"/>
    <w:rsid w:val="00B92C52"/>
    <w:rsid w:val="00B92DB0"/>
    <w:rsid w:val="00B93C6B"/>
    <w:rsid w:val="00B94A73"/>
    <w:rsid w:val="00B94F54"/>
    <w:rsid w:val="00B96338"/>
    <w:rsid w:val="00B965BF"/>
    <w:rsid w:val="00B96D49"/>
    <w:rsid w:val="00B96D72"/>
    <w:rsid w:val="00BA001B"/>
    <w:rsid w:val="00BA0056"/>
    <w:rsid w:val="00BA0477"/>
    <w:rsid w:val="00BA179D"/>
    <w:rsid w:val="00BA1B42"/>
    <w:rsid w:val="00BA28D1"/>
    <w:rsid w:val="00BA3B93"/>
    <w:rsid w:val="00BA4F46"/>
    <w:rsid w:val="00BA4F6C"/>
    <w:rsid w:val="00BA5FC0"/>
    <w:rsid w:val="00BA669E"/>
    <w:rsid w:val="00BA682D"/>
    <w:rsid w:val="00BA687B"/>
    <w:rsid w:val="00BA7CC5"/>
    <w:rsid w:val="00BB0D76"/>
    <w:rsid w:val="00BB1BB4"/>
    <w:rsid w:val="00BB247B"/>
    <w:rsid w:val="00BB254F"/>
    <w:rsid w:val="00BB2AB8"/>
    <w:rsid w:val="00BB3DEF"/>
    <w:rsid w:val="00BB3F54"/>
    <w:rsid w:val="00BB429F"/>
    <w:rsid w:val="00BB42D1"/>
    <w:rsid w:val="00BB4745"/>
    <w:rsid w:val="00BB4CD4"/>
    <w:rsid w:val="00BB5A19"/>
    <w:rsid w:val="00BB5D06"/>
    <w:rsid w:val="00BB5E0C"/>
    <w:rsid w:val="00BB5E56"/>
    <w:rsid w:val="00BB6769"/>
    <w:rsid w:val="00BB7D71"/>
    <w:rsid w:val="00BC0782"/>
    <w:rsid w:val="00BC1778"/>
    <w:rsid w:val="00BC2795"/>
    <w:rsid w:val="00BC2947"/>
    <w:rsid w:val="00BC2D72"/>
    <w:rsid w:val="00BC48EF"/>
    <w:rsid w:val="00BC5093"/>
    <w:rsid w:val="00BC5317"/>
    <w:rsid w:val="00BC6B75"/>
    <w:rsid w:val="00BD0024"/>
    <w:rsid w:val="00BD0163"/>
    <w:rsid w:val="00BD03B6"/>
    <w:rsid w:val="00BD1BBF"/>
    <w:rsid w:val="00BD1DD1"/>
    <w:rsid w:val="00BD2224"/>
    <w:rsid w:val="00BD27B7"/>
    <w:rsid w:val="00BD2E4D"/>
    <w:rsid w:val="00BD39A9"/>
    <w:rsid w:val="00BD3DA9"/>
    <w:rsid w:val="00BD4B49"/>
    <w:rsid w:val="00BD6684"/>
    <w:rsid w:val="00BE0964"/>
    <w:rsid w:val="00BE12BF"/>
    <w:rsid w:val="00BE1C02"/>
    <w:rsid w:val="00BE29CD"/>
    <w:rsid w:val="00BE4225"/>
    <w:rsid w:val="00BE42E7"/>
    <w:rsid w:val="00BE439C"/>
    <w:rsid w:val="00BE43A0"/>
    <w:rsid w:val="00BE52D7"/>
    <w:rsid w:val="00BE5D52"/>
    <w:rsid w:val="00BE5F1F"/>
    <w:rsid w:val="00BE719D"/>
    <w:rsid w:val="00BE79A0"/>
    <w:rsid w:val="00BF10CD"/>
    <w:rsid w:val="00BF1350"/>
    <w:rsid w:val="00BF17D6"/>
    <w:rsid w:val="00BF2046"/>
    <w:rsid w:val="00BF206B"/>
    <w:rsid w:val="00BF20E6"/>
    <w:rsid w:val="00BF2935"/>
    <w:rsid w:val="00BF2C14"/>
    <w:rsid w:val="00BF3346"/>
    <w:rsid w:val="00BF349C"/>
    <w:rsid w:val="00BF44B8"/>
    <w:rsid w:val="00BF4CA7"/>
    <w:rsid w:val="00BF5033"/>
    <w:rsid w:val="00BF54FB"/>
    <w:rsid w:val="00BF558F"/>
    <w:rsid w:val="00BF7CB3"/>
    <w:rsid w:val="00C00AFD"/>
    <w:rsid w:val="00C00E15"/>
    <w:rsid w:val="00C00E66"/>
    <w:rsid w:val="00C00EE6"/>
    <w:rsid w:val="00C01209"/>
    <w:rsid w:val="00C0128F"/>
    <w:rsid w:val="00C013B9"/>
    <w:rsid w:val="00C0209E"/>
    <w:rsid w:val="00C03D71"/>
    <w:rsid w:val="00C03F88"/>
    <w:rsid w:val="00C040BF"/>
    <w:rsid w:val="00C04214"/>
    <w:rsid w:val="00C05839"/>
    <w:rsid w:val="00C05BCE"/>
    <w:rsid w:val="00C06100"/>
    <w:rsid w:val="00C06278"/>
    <w:rsid w:val="00C1005A"/>
    <w:rsid w:val="00C1018B"/>
    <w:rsid w:val="00C10908"/>
    <w:rsid w:val="00C12053"/>
    <w:rsid w:val="00C1246C"/>
    <w:rsid w:val="00C12640"/>
    <w:rsid w:val="00C12783"/>
    <w:rsid w:val="00C14E2F"/>
    <w:rsid w:val="00C15031"/>
    <w:rsid w:val="00C1561D"/>
    <w:rsid w:val="00C15F31"/>
    <w:rsid w:val="00C16AD0"/>
    <w:rsid w:val="00C17365"/>
    <w:rsid w:val="00C2041F"/>
    <w:rsid w:val="00C21358"/>
    <w:rsid w:val="00C21616"/>
    <w:rsid w:val="00C21BCB"/>
    <w:rsid w:val="00C22B1F"/>
    <w:rsid w:val="00C24696"/>
    <w:rsid w:val="00C2472C"/>
    <w:rsid w:val="00C258A6"/>
    <w:rsid w:val="00C26096"/>
    <w:rsid w:val="00C267BC"/>
    <w:rsid w:val="00C26922"/>
    <w:rsid w:val="00C26F87"/>
    <w:rsid w:val="00C278D0"/>
    <w:rsid w:val="00C30538"/>
    <w:rsid w:val="00C30CC3"/>
    <w:rsid w:val="00C312C6"/>
    <w:rsid w:val="00C3196F"/>
    <w:rsid w:val="00C31AB3"/>
    <w:rsid w:val="00C322FD"/>
    <w:rsid w:val="00C32609"/>
    <w:rsid w:val="00C32AE2"/>
    <w:rsid w:val="00C3336F"/>
    <w:rsid w:val="00C350B7"/>
    <w:rsid w:val="00C35A62"/>
    <w:rsid w:val="00C361C0"/>
    <w:rsid w:val="00C36A4A"/>
    <w:rsid w:val="00C37E77"/>
    <w:rsid w:val="00C40906"/>
    <w:rsid w:val="00C42E12"/>
    <w:rsid w:val="00C437AA"/>
    <w:rsid w:val="00C4402F"/>
    <w:rsid w:val="00C449AB"/>
    <w:rsid w:val="00C46199"/>
    <w:rsid w:val="00C46DF8"/>
    <w:rsid w:val="00C4704B"/>
    <w:rsid w:val="00C4713B"/>
    <w:rsid w:val="00C50547"/>
    <w:rsid w:val="00C5134B"/>
    <w:rsid w:val="00C51CB9"/>
    <w:rsid w:val="00C5339C"/>
    <w:rsid w:val="00C53435"/>
    <w:rsid w:val="00C53F06"/>
    <w:rsid w:val="00C544B0"/>
    <w:rsid w:val="00C54B67"/>
    <w:rsid w:val="00C54D47"/>
    <w:rsid w:val="00C55009"/>
    <w:rsid w:val="00C5509D"/>
    <w:rsid w:val="00C553B0"/>
    <w:rsid w:val="00C557FE"/>
    <w:rsid w:val="00C55937"/>
    <w:rsid w:val="00C55FC7"/>
    <w:rsid w:val="00C569D0"/>
    <w:rsid w:val="00C56DFB"/>
    <w:rsid w:val="00C62332"/>
    <w:rsid w:val="00C62E85"/>
    <w:rsid w:val="00C62F43"/>
    <w:rsid w:val="00C63411"/>
    <w:rsid w:val="00C63807"/>
    <w:rsid w:val="00C6394C"/>
    <w:rsid w:val="00C645E5"/>
    <w:rsid w:val="00C64CE3"/>
    <w:rsid w:val="00C650E0"/>
    <w:rsid w:val="00C65192"/>
    <w:rsid w:val="00C65A94"/>
    <w:rsid w:val="00C6670D"/>
    <w:rsid w:val="00C6716E"/>
    <w:rsid w:val="00C677A3"/>
    <w:rsid w:val="00C70E7D"/>
    <w:rsid w:val="00C7162A"/>
    <w:rsid w:val="00C7253B"/>
    <w:rsid w:val="00C727F8"/>
    <w:rsid w:val="00C7292A"/>
    <w:rsid w:val="00C72B1B"/>
    <w:rsid w:val="00C7329E"/>
    <w:rsid w:val="00C73472"/>
    <w:rsid w:val="00C73699"/>
    <w:rsid w:val="00C73748"/>
    <w:rsid w:val="00C739B4"/>
    <w:rsid w:val="00C74417"/>
    <w:rsid w:val="00C7502F"/>
    <w:rsid w:val="00C75BEE"/>
    <w:rsid w:val="00C75CD3"/>
    <w:rsid w:val="00C75E06"/>
    <w:rsid w:val="00C76095"/>
    <w:rsid w:val="00C76157"/>
    <w:rsid w:val="00C7687C"/>
    <w:rsid w:val="00C76BDB"/>
    <w:rsid w:val="00C7739E"/>
    <w:rsid w:val="00C77469"/>
    <w:rsid w:val="00C8026A"/>
    <w:rsid w:val="00C80E65"/>
    <w:rsid w:val="00C8176E"/>
    <w:rsid w:val="00C81CA5"/>
    <w:rsid w:val="00C836EA"/>
    <w:rsid w:val="00C83B06"/>
    <w:rsid w:val="00C8442F"/>
    <w:rsid w:val="00C84DC3"/>
    <w:rsid w:val="00C85700"/>
    <w:rsid w:val="00C85B65"/>
    <w:rsid w:val="00C86989"/>
    <w:rsid w:val="00C8746D"/>
    <w:rsid w:val="00C87A82"/>
    <w:rsid w:val="00C90550"/>
    <w:rsid w:val="00C905B7"/>
    <w:rsid w:val="00C90F45"/>
    <w:rsid w:val="00C911FA"/>
    <w:rsid w:val="00C9125D"/>
    <w:rsid w:val="00C9349E"/>
    <w:rsid w:val="00C947B2"/>
    <w:rsid w:val="00C94B6B"/>
    <w:rsid w:val="00C957E4"/>
    <w:rsid w:val="00C959DB"/>
    <w:rsid w:val="00C9624B"/>
    <w:rsid w:val="00C965DD"/>
    <w:rsid w:val="00C97AE6"/>
    <w:rsid w:val="00CA0319"/>
    <w:rsid w:val="00CA0E2A"/>
    <w:rsid w:val="00CA1229"/>
    <w:rsid w:val="00CA1E16"/>
    <w:rsid w:val="00CA2DAC"/>
    <w:rsid w:val="00CA319A"/>
    <w:rsid w:val="00CA3766"/>
    <w:rsid w:val="00CA3B12"/>
    <w:rsid w:val="00CA3B8A"/>
    <w:rsid w:val="00CA3CF1"/>
    <w:rsid w:val="00CA3FBD"/>
    <w:rsid w:val="00CA40B4"/>
    <w:rsid w:val="00CA524E"/>
    <w:rsid w:val="00CA5ED8"/>
    <w:rsid w:val="00CA6391"/>
    <w:rsid w:val="00CA65BF"/>
    <w:rsid w:val="00CA6B39"/>
    <w:rsid w:val="00CA730F"/>
    <w:rsid w:val="00CA7568"/>
    <w:rsid w:val="00CA7F99"/>
    <w:rsid w:val="00CB04E2"/>
    <w:rsid w:val="00CB08EB"/>
    <w:rsid w:val="00CB0F13"/>
    <w:rsid w:val="00CB11BF"/>
    <w:rsid w:val="00CB22E8"/>
    <w:rsid w:val="00CB24C0"/>
    <w:rsid w:val="00CB284D"/>
    <w:rsid w:val="00CB3023"/>
    <w:rsid w:val="00CB3366"/>
    <w:rsid w:val="00CB38CB"/>
    <w:rsid w:val="00CB4689"/>
    <w:rsid w:val="00CB4693"/>
    <w:rsid w:val="00CB5492"/>
    <w:rsid w:val="00CB59A8"/>
    <w:rsid w:val="00CB6DA6"/>
    <w:rsid w:val="00CC0935"/>
    <w:rsid w:val="00CC10F4"/>
    <w:rsid w:val="00CC398B"/>
    <w:rsid w:val="00CC410F"/>
    <w:rsid w:val="00CC75BF"/>
    <w:rsid w:val="00CC76D8"/>
    <w:rsid w:val="00CD050B"/>
    <w:rsid w:val="00CD0D07"/>
    <w:rsid w:val="00CD1A6B"/>
    <w:rsid w:val="00CD1C34"/>
    <w:rsid w:val="00CD1D15"/>
    <w:rsid w:val="00CD1DCC"/>
    <w:rsid w:val="00CD1ECF"/>
    <w:rsid w:val="00CD2910"/>
    <w:rsid w:val="00CD2CEA"/>
    <w:rsid w:val="00CD322B"/>
    <w:rsid w:val="00CD38FB"/>
    <w:rsid w:val="00CD3D84"/>
    <w:rsid w:val="00CD594D"/>
    <w:rsid w:val="00CD6322"/>
    <w:rsid w:val="00CD72DB"/>
    <w:rsid w:val="00CD75BF"/>
    <w:rsid w:val="00CD7669"/>
    <w:rsid w:val="00CD7AF3"/>
    <w:rsid w:val="00CE4A98"/>
    <w:rsid w:val="00CE4DED"/>
    <w:rsid w:val="00CE5045"/>
    <w:rsid w:val="00CE5097"/>
    <w:rsid w:val="00CE7416"/>
    <w:rsid w:val="00CE7CC4"/>
    <w:rsid w:val="00CF14D4"/>
    <w:rsid w:val="00CF1518"/>
    <w:rsid w:val="00CF2DCF"/>
    <w:rsid w:val="00CF45F8"/>
    <w:rsid w:val="00CF5035"/>
    <w:rsid w:val="00CF5054"/>
    <w:rsid w:val="00CF53A9"/>
    <w:rsid w:val="00CF587D"/>
    <w:rsid w:val="00CF6B85"/>
    <w:rsid w:val="00CF731D"/>
    <w:rsid w:val="00D0090D"/>
    <w:rsid w:val="00D0105B"/>
    <w:rsid w:val="00D01968"/>
    <w:rsid w:val="00D03442"/>
    <w:rsid w:val="00D03D92"/>
    <w:rsid w:val="00D0404F"/>
    <w:rsid w:val="00D04983"/>
    <w:rsid w:val="00D050E4"/>
    <w:rsid w:val="00D05145"/>
    <w:rsid w:val="00D05150"/>
    <w:rsid w:val="00D0598F"/>
    <w:rsid w:val="00D05E86"/>
    <w:rsid w:val="00D064A8"/>
    <w:rsid w:val="00D07F89"/>
    <w:rsid w:val="00D10197"/>
    <w:rsid w:val="00D1032D"/>
    <w:rsid w:val="00D10806"/>
    <w:rsid w:val="00D109CD"/>
    <w:rsid w:val="00D10EE0"/>
    <w:rsid w:val="00D13527"/>
    <w:rsid w:val="00D15ED7"/>
    <w:rsid w:val="00D203B7"/>
    <w:rsid w:val="00D2215F"/>
    <w:rsid w:val="00D222A1"/>
    <w:rsid w:val="00D222AA"/>
    <w:rsid w:val="00D22775"/>
    <w:rsid w:val="00D24836"/>
    <w:rsid w:val="00D2516F"/>
    <w:rsid w:val="00D25366"/>
    <w:rsid w:val="00D260AD"/>
    <w:rsid w:val="00D27F23"/>
    <w:rsid w:val="00D30239"/>
    <w:rsid w:val="00D31A46"/>
    <w:rsid w:val="00D31A94"/>
    <w:rsid w:val="00D32592"/>
    <w:rsid w:val="00D32C35"/>
    <w:rsid w:val="00D33069"/>
    <w:rsid w:val="00D333E3"/>
    <w:rsid w:val="00D335BA"/>
    <w:rsid w:val="00D34E5D"/>
    <w:rsid w:val="00D367ED"/>
    <w:rsid w:val="00D373E2"/>
    <w:rsid w:val="00D40478"/>
    <w:rsid w:val="00D42F05"/>
    <w:rsid w:val="00D4335A"/>
    <w:rsid w:val="00D44D94"/>
    <w:rsid w:val="00D44F42"/>
    <w:rsid w:val="00D45424"/>
    <w:rsid w:val="00D4577D"/>
    <w:rsid w:val="00D45951"/>
    <w:rsid w:val="00D45CA4"/>
    <w:rsid w:val="00D47070"/>
    <w:rsid w:val="00D47F9E"/>
    <w:rsid w:val="00D5188D"/>
    <w:rsid w:val="00D51B6F"/>
    <w:rsid w:val="00D5256A"/>
    <w:rsid w:val="00D53A58"/>
    <w:rsid w:val="00D53F27"/>
    <w:rsid w:val="00D543F4"/>
    <w:rsid w:val="00D555D3"/>
    <w:rsid w:val="00D55FB4"/>
    <w:rsid w:val="00D563DA"/>
    <w:rsid w:val="00D56E2E"/>
    <w:rsid w:val="00D57EBF"/>
    <w:rsid w:val="00D57F54"/>
    <w:rsid w:val="00D604A2"/>
    <w:rsid w:val="00D604B5"/>
    <w:rsid w:val="00D606E3"/>
    <w:rsid w:val="00D60CBF"/>
    <w:rsid w:val="00D60E2E"/>
    <w:rsid w:val="00D614B6"/>
    <w:rsid w:val="00D61B35"/>
    <w:rsid w:val="00D61E3D"/>
    <w:rsid w:val="00D62323"/>
    <w:rsid w:val="00D62490"/>
    <w:rsid w:val="00D62BD4"/>
    <w:rsid w:val="00D637B9"/>
    <w:rsid w:val="00D63B7E"/>
    <w:rsid w:val="00D641D0"/>
    <w:rsid w:val="00D64F22"/>
    <w:rsid w:val="00D675C1"/>
    <w:rsid w:val="00D67607"/>
    <w:rsid w:val="00D67DD4"/>
    <w:rsid w:val="00D705EB"/>
    <w:rsid w:val="00D71C5D"/>
    <w:rsid w:val="00D728AB"/>
    <w:rsid w:val="00D73595"/>
    <w:rsid w:val="00D73D5B"/>
    <w:rsid w:val="00D7566B"/>
    <w:rsid w:val="00D75B8A"/>
    <w:rsid w:val="00D7681D"/>
    <w:rsid w:val="00D76C1D"/>
    <w:rsid w:val="00D77093"/>
    <w:rsid w:val="00D77932"/>
    <w:rsid w:val="00D7798E"/>
    <w:rsid w:val="00D8001A"/>
    <w:rsid w:val="00D81F4C"/>
    <w:rsid w:val="00D82844"/>
    <w:rsid w:val="00D83187"/>
    <w:rsid w:val="00D83855"/>
    <w:rsid w:val="00D84005"/>
    <w:rsid w:val="00D86F96"/>
    <w:rsid w:val="00D90322"/>
    <w:rsid w:val="00D9061D"/>
    <w:rsid w:val="00D909C3"/>
    <w:rsid w:val="00D90C45"/>
    <w:rsid w:val="00D9243C"/>
    <w:rsid w:val="00D92939"/>
    <w:rsid w:val="00D934C5"/>
    <w:rsid w:val="00D93FE7"/>
    <w:rsid w:val="00D94889"/>
    <w:rsid w:val="00D94A82"/>
    <w:rsid w:val="00D97182"/>
    <w:rsid w:val="00DA0C9A"/>
    <w:rsid w:val="00DA0F44"/>
    <w:rsid w:val="00DA14EB"/>
    <w:rsid w:val="00DA20EA"/>
    <w:rsid w:val="00DA2F77"/>
    <w:rsid w:val="00DA30C2"/>
    <w:rsid w:val="00DA3712"/>
    <w:rsid w:val="00DA3A71"/>
    <w:rsid w:val="00DA3B26"/>
    <w:rsid w:val="00DA3C1D"/>
    <w:rsid w:val="00DA6A44"/>
    <w:rsid w:val="00DA6A76"/>
    <w:rsid w:val="00DA6E82"/>
    <w:rsid w:val="00DA6F86"/>
    <w:rsid w:val="00DB072C"/>
    <w:rsid w:val="00DB0E0F"/>
    <w:rsid w:val="00DB13F9"/>
    <w:rsid w:val="00DB17E2"/>
    <w:rsid w:val="00DB1F1D"/>
    <w:rsid w:val="00DB2637"/>
    <w:rsid w:val="00DB26AA"/>
    <w:rsid w:val="00DB431F"/>
    <w:rsid w:val="00DB55B8"/>
    <w:rsid w:val="00DB62C1"/>
    <w:rsid w:val="00DB68D3"/>
    <w:rsid w:val="00DB7DE7"/>
    <w:rsid w:val="00DC0182"/>
    <w:rsid w:val="00DC0B28"/>
    <w:rsid w:val="00DC1DF7"/>
    <w:rsid w:val="00DC20D9"/>
    <w:rsid w:val="00DC251D"/>
    <w:rsid w:val="00DC3928"/>
    <w:rsid w:val="00DC4469"/>
    <w:rsid w:val="00DC5A3E"/>
    <w:rsid w:val="00DC635C"/>
    <w:rsid w:val="00DC6403"/>
    <w:rsid w:val="00DC6AB1"/>
    <w:rsid w:val="00DC6D50"/>
    <w:rsid w:val="00DC7596"/>
    <w:rsid w:val="00DC7622"/>
    <w:rsid w:val="00DC7CA4"/>
    <w:rsid w:val="00DC7F9C"/>
    <w:rsid w:val="00DD0AB8"/>
    <w:rsid w:val="00DD0DCF"/>
    <w:rsid w:val="00DD1710"/>
    <w:rsid w:val="00DD2293"/>
    <w:rsid w:val="00DD2334"/>
    <w:rsid w:val="00DD3D70"/>
    <w:rsid w:val="00DD418C"/>
    <w:rsid w:val="00DD436F"/>
    <w:rsid w:val="00DD45A5"/>
    <w:rsid w:val="00DD50EC"/>
    <w:rsid w:val="00DD5101"/>
    <w:rsid w:val="00DD5428"/>
    <w:rsid w:val="00DD54A0"/>
    <w:rsid w:val="00DD5A24"/>
    <w:rsid w:val="00DD61C8"/>
    <w:rsid w:val="00DD6919"/>
    <w:rsid w:val="00DD7CC6"/>
    <w:rsid w:val="00DE0011"/>
    <w:rsid w:val="00DE0931"/>
    <w:rsid w:val="00DE2090"/>
    <w:rsid w:val="00DE2A03"/>
    <w:rsid w:val="00DE3902"/>
    <w:rsid w:val="00DE3A93"/>
    <w:rsid w:val="00DE45FE"/>
    <w:rsid w:val="00DE5CE6"/>
    <w:rsid w:val="00DE6881"/>
    <w:rsid w:val="00DF0345"/>
    <w:rsid w:val="00DF0A4E"/>
    <w:rsid w:val="00DF191A"/>
    <w:rsid w:val="00DF1B32"/>
    <w:rsid w:val="00DF2662"/>
    <w:rsid w:val="00DF356B"/>
    <w:rsid w:val="00DF374C"/>
    <w:rsid w:val="00DF3BB8"/>
    <w:rsid w:val="00DF4049"/>
    <w:rsid w:val="00DF4D92"/>
    <w:rsid w:val="00DF5E4D"/>
    <w:rsid w:val="00DF66A6"/>
    <w:rsid w:val="00DF75EA"/>
    <w:rsid w:val="00E001E9"/>
    <w:rsid w:val="00E00223"/>
    <w:rsid w:val="00E00268"/>
    <w:rsid w:val="00E00287"/>
    <w:rsid w:val="00E00EC7"/>
    <w:rsid w:val="00E0115C"/>
    <w:rsid w:val="00E0259D"/>
    <w:rsid w:val="00E02624"/>
    <w:rsid w:val="00E02833"/>
    <w:rsid w:val="00E03A5F"/>
    <w:rsid w:val="00E054E1"/>
    <w:rsid w:val="00E0682B"/>
    <w:rsid w:val="00E07DB3"/>
    <w:rsid w:val="00E10ACE"/>
    <w:rsid w:val="00E10D5A"/>
    <w:rsid w:val="00E10EE3"/>
    <w:rsid w:val="00E124B3"/>
    <w:rsid w:val="00E12B76"/>
    <w:rsid w:val="00E13AF4"/>
    <w:rsid w:val="00E14509"/>
    <w:rsid w:val="00E154EB"/>
    <w:rsid w:val="00E159B4"/>
    <w:rsid w:val="00E17020"/>
    <w:rsid w:val="00E1721E"/>
    <w:rsid w:val="00E17B3C"/>
    <w:rsid w:val="00E21838"/>
    <w:rsid w:val="00E224ED"/>
    <w:rsid w:val="00E22F9D"/>
    <w:rsid w:val="00E231DA"/>
    <w:rsid w:val="00E23B8B"/>
    <w:rsid w:val="00E23D03"/>
    <w:rsid w:val="00E24D93"/>
    <w:rsid w:val="00E25999"/>
    <w:rsid w:val="00E25B3F"/>
    <w:rsid w:val="00E2712E"/>
    <w:rsid w:val="00E27303"/>
    <w:rsid w:val="00E276B0"/>
    <w:rsid w:val="00E27B82"/>
    <w:rsid w:val="00E300D9"/>
    <w:rsid w:val="00E308CF"/>
    <w:rsid w:val="00E3175E"/>
    <w:rsid w:val="00E32B04"/>
    <w:rsid w:val="00E33A95"/>
    <w:rsid w:val="00E34317"/>
    <w:rsid w:val="00E3440F"/>
    <w:rsid w:val="00E35DD2"/>
    <w:rsid w:val="00E35EE3"/>
    <w:rsid w:val="00E369CE"/>
    <w:rsid w:val="00E36DBA"/>
    <w:rsid w:val="00E370DB"/>
    <w:rsid w:val="00E372AD"/>
    <w:rsid w:val="00E373CC"/>
    <w:rsid w:val="00E40091"/>
    <w:rsid w:val="00E404D5"/>
    <w:rsid w:val="00E4127F"/>
    <w:rsid w:val="00E415E2"/>
    <w:rsid w:val="00E41F60"/>
    <w:rsid w:val="00E429B9"/>
    <w:rsid w:val="00E42C1A"/>
    <w:rsid w:val="00E43519"/>
    <w:rsid w:val="00E43552"/>
    <w:rsid w:val="00E44BB8"/>
    <w:rsid w:val="00E44FF0"/>
    <w:rsid w:val="00E450EE"/>
    <w:rsid w:val="00E4518F"/>
    <w:rsid w:val="00E458B5"/>
    <w:rsid w:val="00E45CCA"/>
    <w:rsid w:val="00E46818"/>
    <w:rsid w:val="00E4794E"/>
    <w:rsid w:val="00E50C4A"/>
    <w:rsid w:val="00E51A69"/>
    <w:rsid w:val="00E51E2B"/>
    <w:rsid w:val="00E5211E"/>
    <w:rsid w:val="00E52489"/>
    <w:rsid w:val="00E541C1"/>
    <w:rsid w:val="00E542D0"/>
    <w:rsid w:val="00E54784"/>
    <w:rsid w:val="00E5565C"/>
    <w:rsid w:val="00E5667C"/>
    <w:rsid w:val="00E57D14"/>
    <w:rsid w:val="00E57DCC"/>
    <w:rsid w:val="00E60B15"/>
    <w:rsid w:val="00E6119A"/>
    <w:rsid w:val="00E61895"/>
    <w:rsid w:val="00E61CCE"/>
    <w:rsid w:val="00E62DC3"/>
    <w:rsid w:val="00E64DD5"/>
    <w:rsid w:val="00E65B52"/>
    <w:rsid w:val="00E67D9D"/>
    <w:rsid w:val="00E7029A"/>
    <w:rsid w:val="00E7053A"/>
    <w:rsid w:val="00E70F7F"/>
    <w:rsid w:val="00E71047"/>
    <w:rsid w:val="00E71F47"/>
    <w:rsid w:val="00E72FC6"/>
    <w:rsid w:val="00E73278"/>
    <w:rsid w:val="00E73759"/>
    <w:rsid w:val="00E737D7"/>
    <w:rsid w:val="00E73DB1"/>
    <w:rsid w:val="00E75182"/>
    <w:rsid w:val="00E76225"/>
    <w:rsid w:val="00E767A9"/>
    <w:rsid w:val="00E76D1D"/>
    <w:rsid w:val="00E76E80"/>
    <w:rsid w:val="00E77F5B"/>
    <w:rsid w:val="00E8033E"/>
    <w:rsid w:val="00E82090"/>
    <w:rsid w:val="00E820C5"/>
    <w:rsid w:val="00E82119"/>
    <w:rsid w:val="00E822E4"/>
    <w:rsid w:val="00E825D2"/>
    <w:rsid w:val="00E826F8"/>
    <w:rsid w:val="00E82D8D"/>
    <w:rsid w:val="00E83CB6"/>
    <w:rsid w:val="00E860DF"/>
    <w:rsid w:val="00E8672B"/>
    <w:rsid w:val="00E872E3"/>
    <w:rsid w:val="00E874A1"/>
    <w:rsid w:val="00E87AA2"/>
    <w:rsid w:val="00E90233"/>
    <w:rsid w:val="00E92202"/>
    <w:rsid w:val="00E926DD"/>
    <w:rsid w:val="00E92C4A"/>
    <w:rsid w:val="00E92EE5"/>
    <w:rsid w:val="00E933A1"/>
    <w:rsid w:val="00E941C1"/>
    <w:rsid w:val="00E944A3"/>
    <w:rsid w:val="00E96089"/>
    <w:rsid w:val="00E96367"/>
    <w:rsid w:val="00E96448"/>
    <w:rsid w:val="00E96BAA"/>
    <w:rsid w:val="00EA03FE"/>
    <w:rsid w:val="00EA125B"/>
    <w:rsid w:val="00EA3A96"/>
    <w:rsid w:val="00EA4048"/>
    <w:rsid w:val="00EA4343"/>
    <w:rsid w:val="00EA4805"/>
    <w:rsid w:val="00EA4DB5"/>
    <w:rsid w:val="00EA4FCD"/>
    <w:rsid w:val="00EA5C65"/>
    <w:rsid w:val="00EA6015"/>
    <w:rsid w:val="00EA6731"/>
    <w:rsid w:val="00EA7156"/>
    <w:rsid w:val="00EB04FD"/>
    <w:rsid w:val="00EB0EE2"/>
    <w:rsid w:val="00EB10DB"/>
    <w:rsid w:val="00EB177F"/>
    <w:rsid w:val="00EB42FF"/>
    <w:rsid w:val="00EB5084"/>
    <w:rsid w:val="00EB5131"/>
    <w:rsid w:val="00EB571F"/>
    <w:rsid w:val="00EB5B19"/>
    <w:rsid w:val="00EB5CB6"/>
    <w:rsid w:val="00EB5E7A"/>
    <w:rsid w:val="00EB7730"/>
    <w:rsid w:val="00EC0647"/>
    <w:rsid w:val="00EC19A2"/>
    <w:rsid w:val="00EC2CAC"/>
    <w:rsid w:val="00EC3474"/>
    <w:rsid w:val="00EC3547"/>
    <w:rsid w:val="00EC493D"/>
    <w:rsid w:val="00EC55A8"/>
    <w:rsid w:val="00EC5917"/>
    <w:rsid w:val="00EC6680"/>
    <w:rsid w:val="00EC71C0"/>
    <w:rsid w:val="00EC78CC"/>
    <w:rsid w:val="00ED0617"/>
    <w:rsid w:val="00ED0E74"/>
    <w:rsid w:val="00ED2759"/>
    <w:rsid w:val="00ED28A7"/>
    <w:rsid w:val="00ED33E0"/>
    <w:rsid w:val="00ED341B"/>
    <w:rsid w:val="00ED39A1"/>
    <w:rsid w:val="00ED3AB2"/>
    <w:rsid w:val="00ED3FB7"/>
    <w:rsid w:val="00ED55D5"/>
    <w:rsid w:val="00EE0909"/>
    <w:rsid w:val="00EE0CF8"/>
    <w:rsid w:val="00EE2D5E"/>
    <w:rsid w:val="00EE31FD"/>
    <w:rsid w:val="00EE372E"/>
    <w:rsid w:val="00EE38BA"/>
    <w:rsid w:val="00EE38F8"/>
    <w:rsid w:val="00EE55E8"/>
    <w:rsid w:val="00EE5F55"/>
    <w:rsid w:val="00EE6945"/>
    <w:rsid w:val="00EF1D0A"/>
    <w:rsid w:val="00EF245B"/>
    <w:rsid w:val="00EF3E91"/>
    <w:rsid w:val="00EF4839"/>
    <w:rsid w:val="00EF5238"/>
    <w:rsid w:val="00EF5A8F"/>
    <w:rsid w:val="00EF5D7A"/>
    <w:rsid w:val="00EF5F6E"/>
    <w:rsid w:val="00EF5FC2"/>
    <w:rsid w:val="00EF62A6"/>
    <w:rsid w:val="00F02817"/>
    <w:rsid w:val="00F039F6"/>
    <w:rsid w:val="00F06FD3"/>
    <w:rsid w:val="00F06FF0"/>
    <w:rsid w:val="00F07073"/>
    <w:rsid w:val="00F078EE"/>
    <w:rsid w:val="00F10C35"/>
    <w:rsid w:val="00F10F06"/>
    <w:rsid w:val="00F1234E"/>
    <w:rsid w:val="00F12930"/>
    <w:rsid w:val="00F12B31"/>
    <w:rsid w:val="00F12BC9"/>
    <w:rsid w:val="00F12D8E"/>
    <w:rsid w:val="00F1354F"/>
    <w:rsid w:val="00F14712"/>
    <w:rsid w:val="00F148A1"/>
    <w:rsid w:val="00F153D5"/>
    <w:rsid w:val="00F15F65"/>
    <w:rsid w:val="00F161D7"/>
    <w:rsid w:val="00F1677E"/>
    <w:rsid w:val="00F167CD"/>
    <w:rsid w:val="00F168E2"/>
    <w:rsid w:val="00F16C1C"/>
    <w:rsid w:val="00F16CD6"/>
    <w:rsid w:val="00F16E78"/>
    <w:rsid w:val="00F203EE"/>
    <w:rsid w:val="00F21A7E"/>
    <w:rsid w:val="00F2265D"/>
    <w:rsid w:val="00F23989"/>
    <w:rsid w:val="00F23C88"/>
    <w:rsid w:val="00F23E84"/>
    <w:rsid w:val="00F24D7C"/>
    <w:rsid w:val="00F267F4"/>
    <w:rsid w:val="00F26D90"/>
    <w:rsid w:val="00F274D6"/>
    <w:rsid w:val="00F27F04"/>
    <w:rsid w:val="00F30059"/>
    <w:rsid w:val="00F30F8F"/>
    <w:rsid w:val="00F31AAC"/>
    <w:rsid w:val="00F31D51"/>
    <w:rsid w:val="00F3247C"/>
    <w:rsid w:val="00F3351F"/>
    <w:rsid w:val="00F34040"/>
    <w:rsid w:val="00F34460"/>
    <w:rsid w:val="00F34807"/>
    <w:rsid w:val="00F34F17"/>
    <w:rsid w:val="00F353B8"/>
    <w:rsid w:val="00F364FC"/>
    <w:rsid w:val="00F36FE3"/>
    <w:rsid w:val="00F41111"/>
    <w:rsid w:val="00F411F2"/>
    <w:rsid w:val="00F4176B"/>
    <w:rsid w:val="00F4187A"/>
    <w:rsid w:val="00F42671"/>
    <w:rsid w:val="00F4294E"/>
    <w:rsid w:val="00F431A6"/>
    <w:rsid w:val="00F44222"/>
    <w:rsid w:val="00F44762"/>
    <w:rsid w:val="00F44D2A"/>
    <w:rsid w:val="00F453BB"/>
    <w:rsid w:val="00F46129"/>
    <w:rsid w:val="00F46395"/>
    <w:rsid w:val="00F46406"/>
    <w:rsid w:val="00F508B5"/>
    <w:rsid w:val="00F51C29"/>
    <w:rsid w:val="00F52E01"/>
    <w:rsid w:val="00F53140"/>
    <w:rsid w:val="00F536DD"/>
    <w:rsid w:val="00F54314"/>
    <w:rsid w:val="00F544E8"/>
    <w:rsid w:val="00F55289"/>
    <w:rsid w:val="00F55889"/>
    <w:rsid w:val="00F55918"/>
    <w:rsid w:val="00F5636B"/>
    <w:rsid w:val="00F56490"/>
    <w:rsid w:val="00F569BF"/>
    <w:rsid w:val="00F56F2A"/>
    <w:rsid w:val="00F6032F"/>
    <w:rsid w:val="00F614B9"/>
    <w:rsid w:val="00F61DD9"/>
    <w:rsid w:val="00F62374"/>
    <w:rsid w:val="00F62DB3"/>
    <w:rsid w:val="00F63F84"/>
    <w:rsid w:val="00F647D6"/>
    <w:rsid w:val="00F65569"/>
    <w:rsid w:val="00F6562A"/>
    <w:rsid w:val="00F65C57"/>
    <w:rsid w:val="00F65F10"/>
    <w:rsid w:val="00F66C5A"/>
    <w:rsid w:val="00F66CF0"/>
    <w:rsid w:val="00F673C6"/>
    <w:rsid w:val="00F67B93"/>
    <w:rsid w:val="00F67CF6"/>
    <w:rsid w:val="00F7013A"/>
    <w:rsid w:val="00F702E5"/>
    <w:rsid w:val="00F71386"/>
    <w:rsid w:val="00F715AA"/>
    <w:rsid w:val="00F71CDE"/>
    <w:rsid w:val="00F72FF2"/>
    <w:rsid w:val="00F73DE4"/>
    <w:rsid w:val="00F741B7"/>
    <w:rsid w:val="00F743FE"/>
    <w:rsid w:val="00F7465F"/>
    <w:rsid w:val="00F74C4C"/>
    <w:rsid w:val="00F74DE6"/>
    <w:rsid w:val="00F757DD"/>
    <w:rsid w:val="00F762FC"/>
    <w:rsid w:val="00F76ABF"/>
    <w:rsid w:val="00F76EFA"/>
    <w:rsid w:val="00F808E2"/>
    <w:rsid w:val="00F80F50"/>
    <w:rsid w:val="00F8145E"/>
    <w:rsid w:val="00F8155A"/>
    <w:rsid w:val="00F81C7E"/>
    <w:rsid w:val="00F82033"/>
    <w:rsid w:val="00F82839"/>
    <w:rsid w:val="00F82CCD"/>
    <w:rsid w:val="00F83982"/>
    <w:rsid w:val="00F83FA6"/>
    <w:rsid w:val="00F84340"/>
    <w:rsid w:val="00F8441A"/>
    <w:rsid w:val="00F8445D"/>
    <w:rsid w:val="00F84E1D"/>
    <w:rsid w:val="00F85417"/>
    <w:rsid w:val="00F85676"/>
    <w:rsid w:val="00F85C52"/>
    <w:rsid w:val="00F85DF8"/>
    <w:rsid w:val="00F86269"/>
    <w:rsid w:val="00F8675F"/>
    <w:rsid w:val="00F91428"/>
    <w:rsid w:val="00F914F9"/>
    <w:rsid w:val="00F91542"/>
    <w:rsid w:val="00F916C0"/>
    <w:rsid w:val="00F92382"/>
    <w:rsid w:val="00F92DE1"/>
    <w:rsid w:val="00F9377A"/>
    <w:rsid w:val="00F93CD3"/>
    <w:rsid w:val="00F94954"/>
    <w:rsid w:val="00F97344"/>
    <w:rsid w:val="00F97EE8"/>
    <w:rsid w:val="00FA0B43"/>
    <w:rsid w:val="00FA2242"/>
    <w:rsid w:val="00FA25FB"/>
    <w:rsid w:val="00FA3837"/>
    <w:rsid w:val="00FA3985"/>
    <w:rsid w:val="00FA4A5E"/>
    <w:rsid w:val="00FA4E4B"/>
    <w:rsid w:val="00FA5339"/>
    <w:rsid w:val="00FA602A"/>
    <w:rsid w:val="00FA6264"/>
    <w:rsid w:val="00FA6A6D"/>
    <w:rsid w:val="00FA7E97"/>
    <w:rsid w:val="00FB0534"/>
    <w:rsid w:val="00FB0FE0"/>
    <w:rsid w:val="00FB13BA"/>
    <w:rsid w:val="00FB1A45"/>
    <w:rsid w:val="00FB36A0"/>
    <w:rsid w:val="00FB36F7"/>
    <w:rsid w:val="00FB39EE"/>
    <w:rsid w:val="00FB3CC0"/>
    <w:rsid w:val="00FB3EDD"/>
    <w:rsid w:val="00FB451D"/>
    <w:rsid w:val="00FB4E46"/>
    <w:rsid w:val="00FB5A97"/>
    <w:rsid w:val="00FB692A"/>
    <w:rsid w:val="00FB76EE"/>
    <w:rsid w:val="00FC0009"/>
    <w:rsid w:val="00FC1099"/>
    <w:rsid w:val="00FC24A4"/>
    <w:rsid w:val="00FC3A94"/>
    <w:rsid w:val="00FC3DBF"/>
    <w:rsid w:val="00FC462B"/>
    <w:rsid w:val="00FC47A7"/>
    <w:rsid w:val="00FC5074"/>
    <w:rsid w:val="00FC5326"/>
    <w:rsid w:val="00FC5369"/>
    <w:rsid w:val="00FC568B"/>
    <w:rsid w:val="00FC5BC4"/>
    <w:rsid w:val="00FC6463"/>
    <w:rsid w:val="00FC65DB"/>
    <w:rsid w:val="00FC65EC"/>
    <w:rsid w:val="00FC66B1"/>
    <w:rsid w:val="00FC671E"/>
    <w:rsid w:val="00FC6F4E"/>
    <w:rsid w:val="00FC7B4C"/>
    <w:rsid w:val="00FD0929"/>
    <w:rsid w:val="00FD0B87"/>
    <w:rsid w:val="00FD1D7D"/>
    <w:rsid w:val="00FD2390"/>
    <w:rsid w:val="00FD32B6"/>
    <w:rsid w:val="00FD3849"/>
    <w:rsid w:val="00FD3B75"/>
    <w:rsid w:val="00FD4191"/>
    <w:rsid w:val="00FD603E"/>
    <w:rsid w:val="00FD71B3"/>
    <w:rsid w:val="00FD735C"/>
    <w:rsid w:val="00FD7C99"/>
    <w:rsid w:val="00FD7D17"/>
    <w:rsid w:val="00FD7F09"/>
    <w:rsid w:val="00FD7FC2"/>
    <w:rsid w:val="00FE01EC"/>
    <w:rsid w:val="00FE08AA"/>
    <w:rsid w:val="00FE0F38"/>
    <w:rsid w:val="00FE110C"/>
    <w:rsid w:val="00FE1EE2"/>
    <w:rsid w:val="00FE274C"/>
    <w:rsid w:val="00FE27F1"/>
    <w:rsid w:val="00FE2DDB"/>
    <w:rsid w:val="00FE33B8"/>
    <w:rsid w:val="00FE34C6"/>
    <w:rsid w:val="00FE37B7"/>
    <w:rsid w:val="00FE3E3E"/>
    <w:rsid w:val="00FE4916"/>
    <w:rsid w:val="00FE4C2C"/>
    <w:rsid w:val="00FE4CE5"/>
    <w:rsid w:val="00FE5AB7"/>
    <w:rsid w:val="00FE5DB4"/>
    <w:rsid w:val="00FE6125"/>
    <w:rsid w:val="00FE6930"/>
    <w:rsid w:val="00FE75ED"/>
    <w:rsid w:val="00FF107A"/>
    <w:rsid w:val="00FF11C5"/>
    <w:rsid w:val="00FF1584"/>
    <w:rsid w:val="00FF1AF8"/>
    <w:rsid w:val="00FF3EC1"/>
    <w:rsid w:val="00FF51FD"/>
    <w:rsid w:val="00FF541E"/>
    <w:rsid w:val="00FF5836"/>
    <w:rsid w:val="00FF759F"/>
    <w:rsid w:val="00FF7C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D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3B0C"/>
    <w:pPr>
      <w:ind w:left="720"/>
      <w:contextualSpacing/>
    </w:pPr>
  </w:style>
  <w:style w:type="paragraph" w:styleId="FootnoteText">
    <w:name w:val="footnote text"/>
    <w:basedOn w:val="Normal"/>
    <w:link w:val="FootnoteTextChar"/>
    <w:uiPriority w:val="99"/>
    <w:semiHidden/>
    <w:unhideWhenUsed/>
    <w:rsid w:val="00B562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6294"/>
    <w:rPr>
      <w:sz w:val="20"/>
      <w:szCs w:val="20"/>
    </w:rPr>
  </w:style>
  <w:style w:type="character" w:styleId="FootnoteReference">
    <w:name w:val="footnote reference"/>
    <w:basedOn w:val="DefaultParagraphFont"/>
    <w:uiPriority w:val="99"/>
    <w:semiHidden/>
    <w:unhideWhenUsed/>
    <w:rsid w:val="00B56294"/>
    <w:rPr>
      <w:vertAlign w:val="superscript"/>
    </w:rPr>
  </w:style>
  <w:style w:type="paragraph" w:styleId="Header">
    <w:name w:val="header"/>
    <w:basedOn w:val="Normal"/>
    <w:link w:val="HeaderChar"/>
    <w:uiPriority w:val="99"/>
    <w:semiHidden/>
    <w:unhideWhenUsed/>
    <w:rsid w:val="00A7484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74845"/>
  </w:style>
  <w:style w:type="paragraph" w:styleId="Footer">
    <w:name w:val="footer"/>
    <w:basedOn w:val="Normal"/>
    <w:link w:val="FooterChar"/>
    <w:uiPriority w:val="99"/>
    <w:unhideWhenUsed/>
    <w:rsid w:val="00A748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4845"/>
  </w:style>
  <w:style w:type="paragraph" w:styleId="BalloonText">
    <w:name w:val="Balloon Text"/>
    <w:basedOn w:val="Normal"/>
    <w:link w:val="BalloonTextChar"/>
    <w:uiPriority w:val="99"/>
    <w:semiHidden/>
    <w:unhideWhenUsed/>
    <w:rsid w:val="00963A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A27"/>
    <w:rPr>
      <w:rFonts w:ascii="Tahoma" w:hAnsi="Tahoma" w:cs="Tahoma"/>
      <w:sz w:val="16"/>
      <w:szCs w:val="16"/>
    </w:rPr>
  </w:style>
  <w:style w:type="table" w:styleId="TableGrid">
    <w:name w:val="Table Grid"/>
    <w:basedOn w:val="TableNormal"/>
    <w:uiPriority w:val="59"/>
    <w:rsid w:val="00963A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6578C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578CD"/>
    <w:rPr>
      <w:sz w:val="20"/>
      <w:szCs w:val="20"/>
    </w:rPr>
  </w:style>
  <w:style w:type="character" w:styleId="EndnoteReference">
    <w:name w:val="endnote reference"/>
    <w:basedOn w:val="DefaultParagraphFont"/>
    <w:uiPriority w:val="99"/>
    <w:semiHidden/>
    <w:unhideWhenUsed/>
    <w:rsid w:val="006578CD"/>
    <w:rPr>
      <w:vertAlign w:val="superscript"/>
    </w:rPr>
  </w:style>
  <w:style w:type="character" w:styleId="CommentReference">
    <w:name w:val="annotation reference"/>
    <w:basedOn w:val="DefaultParagraphFont"/>
    <w:uiPriority w:val="99"/>
    <w:semiHidden/>
    <w:unhideWhenUsed/>
    <w:rsid w:val="004C2AAD"/>
    <w:rPr>
      <w:sz w:val="16"/>
      <w:szCs w:val="16"/>
    </w:rPr>
  </w:style>
  <w:style w:type="paragraph" w:styleId="CommentText">
    <w:name w:val="annotation text"/>
    <w:basedOn w:val="Normal"/>
    <w:link w:val="CommentTextChar"/>
    <w:uiPriority w:val="99"/>
    <w:semiHidden/>
    <w:unhideWhenUsed/>
    <w:rsid w:val="004C2AAD"/>
    <w:pPr>
      <w:spacing w:line="240" w:lineRule="auto"/>
    </w:pPr>
    <w:rPr>
      <w:sz w:val="20"/>
      <w:szCs w:val="20"/>
    </w:rPr>
  </w:style>
  <w:style w:type="character" w:customStyle="1" w:styleId="CommentTextChar">
    <w:name w:val="Comment Text Char"/>
    <w:basedOn w:val="DefaultParagraphFont"/>
    <w:link w:val="CommentText"/>
    <w:uiPriority w:val="99"/>
    <w:semiHidden/>
    <w:rsid w:val="004C2AAD"/>
    <w:rPr>
      <w:sz w:val="20"/>
      <w:szCs w:val="20"/>
    </w:rPr>
  </w:style>
  <w:style w:type="paragraph" w:styleId="CommentSubject">
    <w:name w:val="annotation subject"/>
    <w:basedOn w:val="CommentText"/>
    <w:next w:val="CommentText"/>
    <w:link w:val="CommentSubjectChar"/>
    <w:uiPriority w:val="99"/>
    <w:semiHidden/>
    <w:unhideWhenUsed/>
    <w:rsid w:val="004C2AAD"/>
    <w:rPr>
      <w:b/>
      <w:bCs/>
    </w:rPr>
  </w:style>
  <w:style w:type="character" w:customStyle="1" w:styleId="CommentSubjectChar">
    <w:name w:val="Comment Subject Char"/>
    <w:basedOn w:val="CommentTextChar"/>
    <w:link w:val="CommentSubject"/>
    <w:uiPriority w:val="99"/>
    <w:semiHidden/>
    <w:rsid w:val="004C2AAD"/>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D:\Documents%20and%20Settings\jthurlow\Desktop\Vietnam%20Financial%20crisis\2%20Data\Compilation%20of%20quarterly%20dat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cuments%20and%20Settings\jthurlow\Desktop\Vietnam%20Financial%20crisis\2%20Data\Compilation%20of%20quarterly%20data.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Documents%20and%20Settings\jthurlow\Desktop\Vietnam\9%20Vietnam%20Financial%20crisis\6%20Model%20(final)\0tabl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da-DK"/>
  <c:chart>
    <c:plotArea>
      <c:layout>
        <c:manualLayout>
          <c:layoutTarget val="inner"/>
          <c:xMode val="edge"/>
          <c:yMode val="edge"/>
          <c:x val="0.11820315913301749"/>
          <c:y val="5.1358597762618113E-2"/>
          <c:w val="0.76927186705308837"/>
          <c:h val="0.7012439895812731"/>
        </c:manualLayout>
      </c:layout>
      <c:lineChart>
        <c:grouping val="standard"/>
        <c:ser>
          <c:idx val="0"/>
          <c:order val="0"/>
          <c:tx>
            <c:strRef>
              <c:f>Investment!$D$34</c:f>
              <c:strCache>
                <c:ptCount val="1"/>
                <c:pt idx="0">
                  <c:v>Foreign direct investment</c:v>
                </c:pt>
              </c:strCache>
            </c:strRef>
          </c:tx>
          <c:spPr>
            <a:ln w="12700">
              <a:solidFill>
                <a:sysClr val="windowText" lastClr="000000"/>
              </a:solidFill>
            </a:ln>
          </c:spPr>
          <c:marker>
            <c:symbol val="none"/>
          </c:marker>
          <c:cat>
            <c:strRef>
              <c:f>Investment!$E$33:$S$33</c:f>
              <c:strCache>
                <c:ptCount val="15"/>
                <c:pt idx="0">
                  <c:v>2006:Q1</c:v>
                </c:pt>
                <c:pt idx="1">
                  <c:v>06:Q2</c:v>
                </c:pt>
                <c:pt idx="2">
                  <c:v>06:Q3</c:v>
                </c:pt>
                <c:pt idx="3">
                  <c:v>06:Q4</c:v>
                </c:pt>
                <c:pt idx="4">
                  <c:v>07:Q1</c:v>
                </c:pt>
                <c:pt idx="5">
                  <c:v>07:Q2</c:v>
                </c:pt>
                <c:pt idx="6">
                  <c:v>07:Q3</c:v>
                </c:pt>
                <c:pt idx="7">
                  <c:v>07:Q4</c:v>
                </c:pt>
                <c:pt idx="8">
                  <c:v>08:Q1</c:v>
                </c:pt>
                <c:pt idx="9">
                  <c:v>08:Q2</c:v>
                </c:pt>
                <c:pt idx="10">
                  <c:v>08:Q3</c:v>
                </c:pt>
                <c:pt idx="11">
                  <c:v>08:Q4</c:v>
                </c:pt>
                <c:pt idx="12">
                  <c:v>09:Q1</c:v>
                </c:pt>
                <c:pt idx="13">
                  <c:v>09:Q2</c:v>
                </c:pt>
                <c:pt idx="14">
                  <c:v>09:Q3</c:v>
                </c:pt>
              </c:strCache>
            </c:strRef>
          </c:cat>
          <c:val>
            <c:numRef>
              <c:f>Investment!$E$34:$S$34</c:f>
              <c:numCache>
                <c:formatCode>#,##0.00</c:formatCode>
                <c:ptCount val="15"/>
                <c:pt idx="0">
                  <c:v>0.40228350735303148</c:v>
                </c:pt>
                <c:pt idx="1">
                  <c:v>0.52977946273112664</c:v>
                </c:pt>
                <c:pt idx="2">
                  <c:v>0.84085084125560561</c:v>
                </c:pt>
                <c:pt idx="3">
                  <c:v>1.4893558533816571</c:v>
                </c:pt>
                <c:pt idx="4">
                  <c:v>0.83016921801093424</c:v>
                </c:pt>
                <c:pt idx="5">
                  <c:v>0.99374081202776565</c:v>
                </c:pt>
                <c:pt idx="6">
                  <c:v>1.5423840038700181</c:v>
                </c:pt>
                <c:pt idx="7">
                  <c:v>2.6702139660912829</c:v>
                </c:pt>
                <c:pt idx="8">
                  <c:v>1.9459241231033806</c:v>
                </c:pt>
                <c:pt idx="9">
                  <c:v>7.2034834510719339</c:v>
                </c:pt>
                <c:pt idx="10">
                  <c:v>5.4751504860863704</c:v>
                </c:pt>
                <c:pt idx="11">
                  <c:v>2.1493356119540512</c:v>
                </c:pt>
                <c:pt idx="12">
                  <c:v>2.0682147060630292</c:v>
                </c:pt>
                <c:pt idx="13">
                  <c:v>3.1727831562135269</c:v>
                </c:pt>
                <c:pt idx="14">
                  <c:v>3.2867095374408741</c:v>
                </c:pt>
              </c:numCache>
            </c:numRef>
          </c:val>
        </c:ser>
        <c:marker val="1"/>
        <c:axId val="96663040"/>
        <c:axId val="96664576"/>
      </c:lineChart>
      <c:lineChart>
        <c:grouping val="standard"/>
        <c:ser>
          <c:idx val="1"/>
          <c:order val="1"/>
          <c:tx>
            <c:strRef>
              <c:f>Investment!$D$35</c:f>
              <c:strCache>
                <c:ptCount val="1"/>
                <c:pt idx="0">
                  <c:v>Nominal exchange rate</c:v>
                </c:pt>
              </c:strCache>
            </c:strRef>
          </c:tx>
          <c:spPr>
            <a:ln w="12700">
              <a:solidFill>
                <a:sysClr val="windowText" lastClr="000000"/>
              </a:solidFill>
              <a:prstDash val="lgDashDot"/>
            </a:ln>
          </c:spPr>
          <c:marker>
            <c:symbol val="none"/>
          </c:marker>
          <c:cat>
            <c:strRef>
              <c:f>Investment!$E$33:$S$33</c:f>
              <c:strCache>
                <c:ptCount val="15"/>
                <c:pt idx="0">
                  <c:v>2006:Q1</c:v>
                </c:pt>
                <c:pt idx="1">
                  <c:v>06:Q2</c:v>
                </c:pt>
                <c:pt idx="2">
                  <c:v>06:Q3</c:v>
                </c:pt>
                <c:pt idx="3">
                  <c:v>06:Q4</c:v>
                </c:pt>
                <c:pt idx="4">
                  <c:v>07:Q1</c:v>
                </c:pt>
                <c:pt idx="5">
                  <c:v>07:Q2</c:v>
                </c:pt>
                <c:pt idx="6">
                  <c:v>07:Q3</c:v>
                </c:pt>
                <c:pt idx="7">
                  <c:v>07:Q4</c:v>
                </c:pt>
                <c:pt idx="8">
                  <c:v>08:Q1</c:v>
                </c:pt>
                <c:pt idx="9">
                  <c:v>08:Q2</c:v>
                </c:pt>
                <c:pt idx="10">
                  <c:v>08:Q3</c:v>
                </c:pt>
                <c:pt idx="11">
                  <c:v>08:Q4</c:v>
                </c:pt>
                <c:pt idx="12">
                  <c:v>09:Q1</c:v>
                </c:pt>
                <c:pt idx="13">
                  <c:v>09:Q2</c:v>
                </c:pt>
                <c:pt idx="14">
                  <c:v>09:Q3</c:v>
                </c:pt>
              </c:strCache>
            </c:strRef>
          </c:cat>
          <c:val>
            <c:numRef>
              <c:f>Investment!$E$35:$S$35</c:f>
              <c:numCache>
                <c:formatCode>#,##0.00</c:formatCode>
                <c:ptCount val="15"/>
                <c:pt idx="0">
                  <c:v>1</c:v>
                </c:pt>
                <c:pt idx="1">
                  <c:v>1.0256552165196833</c:v>
                </c:pt>
                <c:pt idx="2">
                  <c:v>1.0186080261717818</c:v>
                </c:pt>
                <c:pt idx="3">
                  <c:v>1.0255937227121081</c:v>
                </c:pt>
                <c:pt idx="4">
                  <c:v>1.0269465864787461</c:v>
                </c:pt>
                <c:pt idx="5">
                  <c:v>1.0117330184850253</c:v>
                </c:pt>
                <c:pt idx="6">
                  <c:v>1.0039479024462241</c:v>
                </c:pt>
                <c:pt idx="7">
                  <c:v>1.0010576934902655</c:v>
                </c:pt>
                <c:pt idx="8">
                  <c:v>1.0084984442066685</c:v>
                </c:pt>
                <c:pt idx="9">
                  <c:v>1.0515441095081726</c:v>
                </c:pt>
                <c:pt idx="10">
                  <c:v>1.0379539780344118</c:v>
                </c:pt>
                <c:pt idx="11">
                  <c:v>1.0883235558179292</c:v>
                </c:pt>
                <c:pt idx="12">
                  <c:v>1.1116850533151312</c:v>
                </c:pt>
                <c:pt idx="13">
                  <c:v>1.1111316090469678</c:v>
                </c:pt>
                <c:pt idx="14">
                  <c:v>1.1125090703366181</c:v>
                </c:pt>
              </c:numCache>
            </c:numRef>
          </c:val>
        </c:ser>
        <c:ser>
          <c:idx val="2"/>
          <c:order val="2"/>
          <c:tx>
            <c:strRef>
              <c:f>Investment!$D$36</c:f>
              <c:strCache>
                <c:ptCount val="1"/>
                <c:pt idx="0">
                  <c:v>Consumer price index</c:v>
                </c:pt>
              </c:strCache>
            </c:strRef>
          </c:tx>
          <c:spPr>
            <a:ln w="12700">
              <a:solidFill>
                <a:sysClr val="windowText" lastClr="000000"/>
              </a:solidFill>
              <a:prstDash val="dash"/>
            </a:ln>
          </c:spPr>
          <c:marker>
            <c:symbol val="none"/>
          </c:marker>
          <c:cat>
            <c:strRef>
              <c:f>Investment!$E$33:$S$33</c:f>
              <c:strCache>
                <c:ptCount val="15"/>
                <c:pt idx="0">
                  <c:v>2006:Q1</c:v>
                </c:pt>
                <c:pt idx="1">
                  <c:v>06:Q2</c:v>
                </c:pt>
                <c:pt idx="2">
                  <c:v>06:Q3</c:v>
                </c:pt>
                <c:pt idx="3">
                  <c:v>06:Q4</c:v>
                </c:pt>
                <c:pt idx="4">
                  <c:v>07:Q1</c:v>
                </c:pt>
                <c:pt idx="5">
                  <c:v>07:Q2</c:v>
                </c:pt>
                <c:pt idx="6">
                  <c:v>07:Q3</c:v>
                </c:pt>
                <c:pt idx="7">
                  <c:v>07:Q4</c:v>
                </c:pt>
                <c:pt idx="8">
                  <c:v>08:Q1</c:v>
                </c:pt>
                <c:pt idx="9">
                  <c:v>08:Q2</c:v>
                </c:pt>
                <c:pt idx="10">
                  <c:v>08:Q3</c:v>
                </c:pt>
                <c:pt idx="11">
                  <c:v>08:Q4</c:v>
                </c:pt>
                <c:pt idx="12">
                  <c:v>09:Q1</c:v>
                </c:pt>
                <c:pt idx="13">
                  <c:v>09:Q2</c:v>
                </c:pt>
                <c:pt idx="14">
                  <c:v>09:Q3</c:v>
                </c:pt>
              </c:strCache>
            </c:strRef>
          </c:cat>
          <c:val>
            <c:numRef>
              <c:f>Investment!$E$36:$S$36</c:f>
              <c:numCache>
                <c:formatCode>#,##0.00</c:formatCode>
                <c:ptCount val="15"/>
                <c:pt idx="0">
                  <c:v>1</c:v>
                </c:pt>
                <c:pt idx="1">
                  <c:v>1.0120440479999855</c:v>
                </c:pt>
                <c:pt idx="2">
                  <c:v>1.0232170628680421</c:v>
                </c:pt>
                <c:pt idx="3">
                  <c:v>1.036572153365612</c:v>
                </c:pt>
                <c:pt idx="4">
                  <c:v>1.0688878251180327</c:v>
                </c:pt>
                <c:pt idx="5">
                  <c:v>1.0925715574587724</c:v>
                </c:pt>
                <c:pt idx="6">
                  <c:v>1.1145642253331798</c:v>
                </c:pt>
                <c:pt idx="7">
                  <c:v>1.1687737715107303</c:v>
                </c:pt>
                <c:pt idx="8">
                  <c:v>1.2771073188901394</c:v>
                </c:pt>
                <c:pt idx="9">
                  <c:v>1.3845848625139101</c:v>
                </c:pt>
                <c:pt idx="10">
                  <c:v>1.4250567654190618</c:v>
                </c:pt>
                <c:pt idx="11">
                  <c:v>1.4009531956823926</c:v>
                </c:pt>
                <c:pt idx="12">
                  <c:v>1.4194626542407438</c:v>
                </c:pt>
                <c:pt idx="13">
                  <c:v>1.4385671094132721</c:v>
                </c:pt>
                <c:pt idx="14">
                  <c:v>1.4585051854334514</c:v>
                </c:pt>
              </c:numCache>
            </c:numRef>
          </c:val>
        </c:ser>
        <c:marker val="1"/>
        <c:axId val="97131904"/>
        <c:axId val="97129984"/>
      </c:lineChart>
      <c:catAx>
        <c:axId val="96663040"/>
        <c:scaling>
          <c:orientation val="minMax"/>
        </c:scaling>
        <c:axPos val="b"/>
        <c:tickLblPos val="nextTo"/>
        <c:txPr>
          <a:bodyPr rot="-5400000" vert="horz"/>
          <a:lstStyle/>
          <a:p>
            <a:pPr>
              <a:defRPr/>
            </a:pPr>
            <a:endParaRPr lang="da-DK"/>
          </a:p>
        </c:txPr>
        <c:crossAx val="96664576"/>
        <c:crosses val="autoZero"/>
        <c:auto val="1"/>
        <c:lblAlgn val="ctr"/>
        <c:lblOffset val="100"/>
      </c:catAx>
      <c:valAx>
        <c:axId val="96664576"/>
        <c:scaling>
          <c:orientation val="minMax"/>
        </c:scaling>
        <c:axPos val="l"/>
        <c:title>
          <c:tx>
            <c:rich>
              <a:bodyPr rot="-5400000" vert="horz"/>
              <a:lstStyle/>
              <a:p>
                <a:pPr>
                  <a:defRPr/>
                </a:pPr>
                <a:r>
                  <a:rPr lang="en-US"/>
                  <a:t>Investment (US$ 2007 billion)</a:t>
                </a:r>
              </a:p>
            </c:rich>
          </c:tx>
          <c:layout>
            <c:manualLayout>
              <c:xMode val="edge"/>
              <c:yMode val="edge"/>
              <c:x val="1.3422995479403361E-2"/>
              <c:y val="0.10496587591318904"/>
            </c:manualLayout>
          </c:layout>
        </c:title>
        <c:numFmt formatCode="#,##0" sourceLinked="0"/>
        <c:tickLblPos val="nextTo"/>
        <c:crossAx val="96663040"/>
        <c:crosses val="autoZero"/>
        <c:crossBetween val="between"/>
      </c:valAx>
      <c:valAx>
        <c:axId val="97129984"/>
        <c:scaling>
          <c:orientation val="minMax"/>
          <c:min val="0.9"/>
        </c:scaling>
        <c:axPos val="r"/>
        <c:title>
          <c:tx>
            <c:rich>
              <a:bodyPr rot="-5400000" vert="horz"/>
              <a:lstStyle/>
              <a:p>
                <a:pPr>
                  <a:defRPr/>
                </a:pPr>
                <a:r>
                  <a:rPr lang="en-US"/>
                  <a:t>Prices (index 2006:Q1 = 1)</a:t>
                </a:r>
              </a:p>
            </c:rich>
          </c:tx>
        </c:title>
        <c:numFmt formatCode="#,##0.0" sourceLinked="0"/>
        <c:tickLblPos val="nextTo"/>
        <c:crossAx val="97131904"/>
        <c:crosses val="max"/>
        <c:crossBetween val="between"/>
      </c:valAx>
      <c:catAx>
        <c:axId val="97131904"/>
        <c:scaling>
          <c:orientation val="minMax"/>
        </c:scaling>
        <c:delete val="1"/>
        <c:axPos val="b"/>
        <c:tickLblPos val="none"/>
        <c:crossAx val="97129984"/>
        <c:crosses val="autoZero"/>
        <c:auto val="1"/>
        <c:lblAlgn val="ctr"/>
        <c:lblOffset val="100"/>
      </c:catAx>
    </c:plotArea>
    <c:legend>
      <c:legendPos val="r"/>
      <c:layout>
        <c:manualLayout>
          <c:xMode val="edge"/>
          <c:yMode val="edge"/>
          <c:x val="0.1283202517426259"/>
          <c:y val="3.3540656655796829E-2"/>
          <c:w val="0.37488508803191184"/>
          <c:h val="0.27316263942238639"/>
        </c:manualLayout>
      </c:layout>
    </c:legend>
    <c:plotVisOnly val="1"/>
  </c:chart>
  <c:spPr>
    <a:ln>
      <a:noFill/>
    </a:ln>
  </c:spPr>
  <c:txPr>
    <a:bodyPr/>
    <a:lstStyle/>
    <a:p>
      <a:pPr>
        <a:defRPr b="0"/>
      </a:pPr>
      <a:endParaRPr lang="da-DK"/>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da-DK"/>
  <c:chart>
    <c:plotArea>
      <c:layout>
        <c:manualLayout>
          <c:layoutTarget val="inner"/>
          <c:xMode val="edge"/>
          <c:yMode val="edge"/>
          <c:x val="0.13746062992125985"/>
          <c:y val="5.1400554097404488E-2"/>
          <c:w val="0.80884776902887978"/>
          <c:h val="0.65470654709828813"/>
        </c:manualLayout>
      </c:layout>
      <c:lineChart>
        <c:grouping val="standard"/>
        <c:ser>
          <c:idx val="0"/>
          <c:order val="0"/>
          <c:tx>
            <c:strRef>
              <c:f>'World Prices'!$AJ$14</c:f>
              <c:strCache>
                <c:ptCount val="1"/>
                <c:pt idx="0">
                  <c:v>Metals and minerals</c:v>
                </c:pt>
              </c:strCache>
            </c:strRef>
          </c:tx>
          <c:spPr>
            <a:ln w="12700">
              <a:solidFill>
                <a:prstClr val="black"/>
              </a:solidFill>
              <a:prstDash val="sysDash"/>
            </a:ln>
          </c:spPr>
          <c:marker>
            <c:symbol val="none"/>
          </c:marker>
          <c:cat>
            <c:strRef>
              <c:f>'World Prices'!$AK$13:$CC$13</c:f>
              <c:strCache>
                <c:ptCount val="45"/>
                <c:pt idx="2">
                  <c:v>2006:Q1</c:v>
                </c:pt>
                <c:pt idx="5">
                  <c:v>06:Q2</c:v>
                </c:pt>
                <c:pt idx="8">
                  <c:v>06:Q3</c:v>
                </c:pt>
                <c:pt idx="11">
                  <c:v>06:Q4</c:v>
                </c:pt>
                <c:pt idx="14">
                  <c:v>07:Q1</c:v>
                </c:pt>
                <c:pt idx="17">
                  <c:v>07:Q2</c:v>
                </c:pt>
                <c:pt idx="20">
                  <c:v>07:Q3</c:v>
                </c:pt>
                <c:pt idx="23">
                  <c:v>07:Q4</c:v>
                </c:pt>
                <c:pt idx="26">
                  <c:v>08:Q1</c:v>
                </c:pt>
                <c:pt idx="29">
                  <c:v>08:Q2</c:v>
                </c:pt>
                <c:pt idx="32">
                  <c:v>08:Q3</c:v>
                </c:pt>
                <c:pt idx="35">
                  <c:v>08:Q4</c:v>
                </c:pt>
                <c:pt idx="38">
                  <c:v>09:Q1</c:v>
                </c:pt>
                <c:pt idx="41">
                  <c:v>09:Q2</c:v>
                </c:pt>
                <c:pt idx="44">
                  <c:v>09:Q3</c:v>
                </c:pt>
              </c:strCache>
            </c:strRef>
          </c:cat>
          <c:val>
            <c:numRef>
              <c:f>'World Prices'!$AK$14:$CC$14</c:f>
              <c:numCache>
                <c:formatCode>0.0</c:formatCode>
                <c:ptCount val="45"/>
                <c:pt idx="0">
                  <c:v>1</c:v>
                </c:pt>
                <c:pt idx="1">
                  <c:v>1.0354807544210924</c:v>
                </c:pt>
                <c:pt idx="2">
                  <c:v>1.0465609058280481</c:v>
                </c:pt>
                <c:pt idx="3">
                  <c:v>1.2098741231324828</c:v>
                </c:pt>
                <c:pt idx="4">
                  <c:v>1.4088025128700579</c:v>
                </c:pt>
                <c:pt idx="5">
                  <c:v>1.2852130852200858</c:v>
                </c:pt>
                <c:pt idx="6">
                  <c:v>1.366376361099054</c:v>
                </c:pt>
                <c:pt idx="7">
                  <c:v>1.3807077481715901</c:v>
                </c:pt>
                <c:pt idx="8">
                  <c:v>1.375035588102139</c:v>
                </c:pt>
                <c:pt idx="9">
                  <c:v>1.4018211773710803</c:v>
                </c:pt>
                <c:pt idx="10">
                  <c:v>1.3692248094578006</c:v>
                </c:pt>
                <c:pt idx="11">
                  <c:v>1.3583458183396575</c:v>
                </c:pt>
                <c:pt idx="12">
                  <c:v>1.2819604493668817</c:v>
                </c:pt>
                <c:pt idx="13">
                  <c:v>1.2998613814250939</c:v>
                </c:pt>
                <c:pt idx="14">
                  <c:v>1.3940459354887105</c:v>
                </c:pt>
                <c:pt idx="15">
                  <c:v>1.5474924973279522</c:v>
                </c:pt>
                <c:pt idx="16">
                  <c:v>1.5521205841582781</c:v>
                </c:pt>
                <c:pt idx="17">
                  <c:v>1.4809849853213664</c:v>
                </c:pt>
                <c:pt idx="18">
                  <c:v>1.510031410875724</c:v>
                </c:pt>
                <c:pt idx="19">
                  <c:v>1.4212842520897535</c:v>
                </c:pt>
                <c:pt idx="20">
                  <c:v>1.4281297693890938</c:v>
                </c:pt>
                <c:pt idx="21">
                  <c:v>1.4852415557017975</c:v>
                </c:pt>
                <c:pt idx="22">
                  <c:v>1.3753744335074234</c:v>
                </c:pt>
                <c:pt idx="23">
                  <c:v>1.2927558959567407</c:v>
                </c:pt>
                <c:pt idx="24">
                  <c:v>1.5163602589413638</c:v>
                </c:pt>
                <c:pt idx="25">
                  <c:v>1.6342644581040418</c:v>
                </c:pt>
                <c:pt idx="26">
                  <c:v>1.7233033226452346</c:v>
                </c:pt>
                <c:pt idx="27">
                  <c:v>1.7287444517565353</c:v>
                </c:pt>
                <c:pt idx="28">
                  <c:v>1.6748675655871221</c:v>
                </c:pt>
                <c:pt idx="29">
                  <c:v>1.6393952122917799</c:v>
                </c:pt>
                <c:pt idx="30">
                  <c:v>1.6552374018118627</c:v>
                </c:pt>
                <c:pt idx="31">
                  <c:v>1.5433488754159719</c:v>
                </c:pt>
                <c:pt idx="32">
                  <c:v>1.454463564784348</c:v>
                </c:pt>
                <c:pt idx="33">
                  <c:v>1.1798069607994137</c:v>
                </c:pt>
                <c:pt idx="34">
                  <c:v>1.0295700957261598</c:v>
                </c:pt>
                <c:pt idx="35">
                  <c:v>0.92419524216244975</c:v>
                </c:pt>
                <c:pt idx="36">
                  <c:v>0.94398549405620369</c:v>
                </c:pt>
                <c:pt idx="37">
                  <c:v>0.94035340735659323</c:v>
                </c:pt>
                <c:pt idx="38">
                  <c:v>0.98309320115562149</c:v>
                </c:pt>
                <c:pt idx="39">
                  <c:v>0.99625336700748757</c:v>
                </c:pt>
                <c:pt idx="40">
                  <c:v>1.0094135328593536</c:v>
                </c:pt>
                <c:pt idx="41">
                  <c:v>1.0804075565349445</c:v>
                </c:pt>
                <c:pt idx="42">
                  <c:v>1.1111127501791858</c:v>
                </c:pt>
                <c:pt idx="43">
                  <c:v>1.1284263865050097</c:v>
                </c:pt>
                <c:pt idx="44">
                  <c:v>1.1278566966754584</c:v>
                </c:pt>
              </c:numCache>
            </c:numRef>
          </c:val>
        </c:ser>
        <c:ser>
          <c:idx val="1"/>
          <c:order val="1"/>
          <c:tx>
            <c:strRef>
              <c:f>'World Prices'!$AJ$15</c:f>
              <c:strCache>
                <c:ptCount val="1"/>
                <c:pt idx="0">
                  <c:v>Food</c:v>
                </c:pt>
              </c:strCache>
            </c:strRef>
          </c:tx>
          <c:spPr>
            <a:ln w="12700">
              <a:solidFill>
                <a:prstClr val="black"/>
              </a:solidFill>
              <a:prstDash val="lgDash"/>
            </a:ln>
          </c:spPr>
          <c:marker>
            <c:symbol val="none"/>
          </c:marker>
          <c:cat>
            <c:strRef>
              <c:f>'World Prices'!$AK$13:$CC$13</c:f>
              <c:strCache>
                <c:ptCount val="45"/>
                <c:pt idx="2">
                  <c:v>2006:Q1</c:v>
                </c:pt>
                <c:pt idx="5">
                  <c:v>06:Q2</c:v>
                </c:pt>
                <c:pt idx="8">
                  <c:v>06:Q3</c:v>
                </c:pt>
                <c:pt idx="11">
                  <c:v>06:Q4</c:v>
                </c:pt>
                <c:pt idx="14">
                  <c:v>07:Q1</c:v>
                </c:pt>
                <c:pt idx="17">
                  <c:v>07:Q2</c:v>
                </c:pt>
                <c:pt idx="20">
                  <c:v>07:Q3</c:v>
                </c:pt>
                <c:pt idx="23">
                  <c:v>07:Q4</c:v>
                </c:pt>
                <c:pt idx="26">
                  <c:v>08:Q1</c:v>
                </c:pt>
                <c:pt idx="29">
                  <c:v>08:Q2</c:v>
                </c:pt>
                <c:pt idx="32">
                  <c:v>08:Q3</c:v>
                </c:pt>
                <c:pt idx="35">
                  <c:v>08:Q4</c:v>
                </c:pt>
                <c:pt idx="38">
                  <c:v>09:Q1</c:v>
                </c:pt>
                <c:pt idx="41">
                  <c:v>09:Q2</c:v>
                </c:pt>
                <c:pt idx="44">
                  <c:v>09:Q3</c:v>
                </c:pt>
              </c:strCache>
            </c:strRef>
          </c:cat>
          <c:val>
            <c:numRef>
              <c:f>'World Prices'!$AK$15:$CC$15</c:f>
              <c:numCache>
                <c:formatCode>0.0</c:formatCode>
                <c:ptCount val="45"/>
                <c:pt idx="0">
                  <c:v>1</c:v>
                </c:pt>
                <c:pt idx="1">
                  <c:v>1.0460606042918981</c:v>
                </c:pt>
                <c:pt idx="2">
                  <c:v>1.0244741647812965</c:v>
                </c:pt>
                <c:pt idx="3">
                  <c:v>1.0237000676331798</c:v>
                </c:pt>
                <c:pt idx="4">
                  <c:v>1.057038046035798</c:v>
                </c:pt>
                <c:pt idx="5">
                  <c:v>1.0179727701661059</c:v>
                </c:pt>
                <c:pt idx="6">
                  <c:v>1.0459416807903368</c:v>
                </c:pt>
                <c:pt idx="7">
                  <c:v>1.0421098634276671</c:v>
                </c:pt>
                <c:pt idx="8">
                  <c:v>1.0371384233078389</c:v>
                </c:pt>
                <c:pt idx="9">
                  <c:v>1.0852593955038159</c:v>
                </c:pt>
                <c:pt idx="10">
                  <c:v>1.13574862344223</c:v>
                </c:pt>
                <c:pt idx="11">
                  <c:v>1.1413621045520081</c:v>
                </c:pt>
                <c:pt idx="12">
                  <c:v>1.1509598877595613</c:v>
                </c:pt>
                <c:pt idx="13">
                  <c:v>1.185573193037649</c:v>
                </c:pt>
                <c:pt idx="14">
                  <c:v>1.1811569724557289</c:v>
                </c:pt>
                <c:pt idx="15">
                  <c:v>1.1916295365120686</c:v>
                </c:pt>
                <c:pt idx="16">
                  <c:v>1.2310559604386166</c:v>
                </c:pt>
                <c:pt idx="17">
                  <c:v>1.2943400438776649</c:v>
                </c:pt>
                <c:pt idx="18">
                  <c:v>1.3232501282258149</c:v>
                </c:pt>
                <c:pt idx="19">
                  <c:v>1.3479008542793118</c:v>
                </c:pt>
                <c:pt idx="20">
                  <c:v>1.4131365964093663</c:v>
                </c:pt>
                <c:pt idx="21">
                  <c:v>1.4649741104266718</c:v>
                </c:pt>
                <c:pt idx="22">
                  <c:v>1.5316055621178304</c:v>
                </c:pt>
                <c:pt idx="23">
                  <c:v>1.5872281996076252</c:v>
                </c:pt>
                <c:pt idx="24">
                  <c:v>1.6995189799719892</c:v>
                </c:pt>
                <c:pt idx="25">
                  <c:v>1.8540823227875816</c:v>
                </c:pt>
                <c:pt idx="26">
                  <c:v>1.9844363427302361</c:v>
                </c:pt>
                <c:pt idx="27">
                  <c:v>2.027137905297546</c:v>
                </c:pt>
                <c:pt idx="28">
                  <c:v>2.0360294434161177</c:v>
                </c:pt>
                <c:pt idx="29">
                  <c:v>2.0998789606815547</c:v>
                </c:pt>
                <c:pt idx="30">
                  <c:v>2.0519053660764506</c:v>
                </c:pt>
                <c:pt idx="31">
                  <c:v>1.8395036147637325</c:v>
                </c:pt>
                <c:pt idx="32">
                  <c:v>1.7179689033283256</c:v>
                </c:pt>
                <c:pt idx="33">
                  <c:v>1.4149510917979857</c:v>
                </c:pt>
                <c:pt idx="34">
                  <c:v>1.319242479182916</c:v>
                </c:pt>
                <c:pt idx="35">
                  <c:v>1.2631857344328781</c:v>
                </c:pt>
                <c:pt idx="36">
                  <c:v>1.3754436831556898</c:v>
                </c:pt>
                <c:pt idx="37">
                  <c:v>1.3654584865780601</c:v>
                </c:pt>
                <c:pt idx="38">
                  <c:v>1.3593926584071785</c:v>
                </c:pt>
                <c:pt idx="39">
                  <c:v>1.4626477633797641</c:v>
                </c:pt>
                <c:pt idx="40">
                  <c:v>1.5659028683523291</c:v>
                </c:pt>
                <c:pt idx="41">
                  <c:v>1.574029644200263</c:v>
                </c:pt>
                <c:pt idx="42">
                  <c:v>1.4825899468506367</c:v>
                </c:pt>
                <c:pt idx="43">
                  <c:v>1.53776282368058</c:v>
                </c:pt>
                <c:pt idx="44">
                  <c:v>1.4969753544008766</c:v>
                </c:pt>
              </c:numCache>
            </c:numRef>
          </c:val>
        </c:ser>
        <c:ser>
          <c:idx val="2"/>
          <c:order val="2"/>
          <c:tx>
            <c:strRef>
              <c:f>'World Prices'!$AJ$16</c:f>
              <c:strCache>
                <c:ptCount val="1"/>
                <c:pt idx="0">
                  <c:v>Energy</c:v>
                </c:pt>
              </c:strCache>
            </c:strRef>
          </c:tx>
          <c:spPr>
            <a:ln w="12700">
              <a:solidFill>
                <a:schemeClr val="tx1"/>
              </a:solidFill>
            </a:ln>
          </c:spPr>
          <c:marker>
            <c:symbol val="none"/>
          </c:marker>
          <c:cat>
            <c:strRef>
              <c:f>'World Prices'!$AK$13:$CC$13</c:f>
              <c:strCache>
                <c:ptCount val="45"/>
                <c:pt idx="2">
                  <c:v>2006:Q1</c:v>
                </c:pt>
                <c:pt idx="5">
                  <c:v>06:Q2</c:v>
                </c:pt>
                <c:pt idx="8">
                  <c:v>06:Q3</c:v>
                </c:pt>
                <c:pt idx="11">
                  <c:v>06:Q4</c:v>
                </c:pt>
                <c:pt idx="14">
                  <c:v>07:Q1</c:v>
                </c:pt>
                <c:pt idx="17">
                  <c:v>07:Q2</c:v>
                </c:pt>
                <c:pt idx="20">
                  <c:v>07:Q3</c:v>
                </c:pt>
                <c:pt idx="23">
                  <c:v>07:Q4</c:v>
                </c:pt>
                <c:pt idx="26">
                  <c:v>08:Q1</c:v>
                </c:pt>
                <c:pt idx="29">
                  <c:v>08:Q2</c:v>
                </c:pt>
                <c:pt idx="32">
                  <c:v>08:Q3</c:v>
                </c:pt>
                <c:pt idx="35">
                  <c:v>08:Q4</c:v>
                </c:pt>
                <c:pt idx="38">
                  <c:v>09:Q1</c:v>
                </c:pt>
                <c:pt idx="41">
                  <c:v>09:Q2</c:v>
                </c:pt>
                <c:pt idx="44">
                  <c:v>09:Q3</c:v>
                </c:pt>
              </c:strCache>
            </c:strRef>
          </c:cat>
          <c:val>
            <c:numRef>
              <c:f>'World Prices'!$AK$16:$CC$16</c:f>
              <c:numCache>
                <c:formatCode>0.0</c:formatCode>
                <c:ptCount val="45"/>
                <c:pt idx="0">
                  <c:v>1</c:v>
                </c:pt>
                <c:pt idx="1">
                  <c:v>0.95883977148910216</c:v>
                </c:pt>
                <c:pt idx="2">
                  <c:v>0.9740385001971672</c:v>
                </c:pt>
                <c:pt idx="3">
                  <c:v>1.0767116489473378</c:v>
                </c:pt>
                <c:pt idx="4">
                  <c:v>1.0810765370209354</c:v>
                </c:pt>
                <c:pt idx="5">
                  <c:v>1.0757040859299571</c:v>
                </c:pt>
                <c:pt idx="6">
                  <c:v>1.1353537658936881</c:v>
                </c:pt>
                <c:pt idx="7">
                  <c:v>1.130466212119404</c:v>
                </c:pt>
                <c:pt idx="8">
                  <c:v>0.98083152985915556</c:v>
                </c:pt>
                <c:pt idx="9">
                  <c:v>0.92731088700064956</c:v>
                </c:pt>
                <c:pt idx="10">
                  <c:v>0.94121533786256129</c:v>
                </c:pt>
                <c:pt idx="11">
                  <c:v>0.97827668143424018</c:v>
                </c:pt>
                <c:pt idx="12">
                  <c:v>0.87403147446553853</c:v>
                </c:pt>
                <c:pt idx="13">
                  <c:v>0.93944266048618874</c:v>
                </c:pt>
                <c:pt idx="14">
                  <c:v>0.97743481197233406</c:v>
                </c:pt>
                <c:pt idx="15">
                  <c:v>1.0408276230650302</c:v>
                </c:pt>
                <c:pt idx="16">
                  <c:v>1.042258760539106</c:v>
                </c:pt>
                <c:pt idx="17">
                  <c:v>1.0871767401985968</c:v>
                </c:pt>
                <c:pt idx="18">
                  <c:v>1.1610098697315816</c:v>
                </c:pt>
                <c:pt idx="19">
                  <c:v>1.1158161402579698</c:v>
                </c:pt>
                <c:pt idx="20">
                  <c:v>1.2077785002052894</c:v>
                </c:pt>
                <c:pt idx="21">
                  <c:v>1.2929734155249044</c:v>
                </c:pt>
                <c:pt idx="22">
                  <c:v>1.4349935042440698</c:v>
                </c:pt>
                <c:pt idx="23">
                  <c:v>1.4152564777854746</c:v>
                </c:pt>
                <c:pt idx="24">
                  <c:v>1.4441606626442658</c:v>
                </c:pt>
                <c:pt idx="25">
                  <c:v>1.5190159752141934</c:v>
                </c:pt>
                <c:pt idx="26">
                  <c:v>1.6314548909448068</c:v>
                </c:pt>
                <c:pt idx="27">
                  <c:v>1.742000514137356</c:v>
                </c:pt>
                <c:pt idx="28">
                  <c:v>1.9504076751854</c:v>
                </c:pt>
                <c:pt idx="29">
                  <c:v>2.1057189861666186</c:v>
                </c:pt>
                <c:pt idx="30">
                  <c:v>2.1406250951824202</c:v>
                </c:pt>
                <c:pt idx="31">
                  <c:v>1.8545429883401283</c:v>
                </c:pt>
                <c:pt idx="32">
                  <c:v>1.639359042096316</c:v>
                </c:pt>
                <c:pt idx="33">
                  <c:v>1.2319076242183875</c:v>
                </c:pt>
                <c:pt idx="34">
                  <c:v>0.95861031840372879</c:v>
                </c:pt>
                <c:pt idx="35">
                  <c:v>0.76448244927563858</c:v>
                </c:pt>
                <c:pt idx="36">
                  <c:v>0.78733313379713266</c:v>
                </c:pt>
                <c:pt idx="37">
                  <c:v>0.73537886359400884</c:v>
                </c:pt>
                <c:pt idx="38">
                  <c:v>0.78582930233672665</c:v>
                </c:pt>
                <c:pt idx="39">
                  <c:v>0.801198890241832</c:v>
                </c:pt>
                <c:pt idx="40">
                  <c:v>0.81656847814692446</c:v>
                </c:pt>
                <c:pt idx="41">
                  <c:v>0.95452628982763066</c:v>
                </c:pt>
                <c:pt idx="42">
                  <c:v>0.89274320064681334</c:v>
                </c:pt>
                <c:pt idx="43">
                  <c:v>1.0894183330502101</c:v>
                </c:pt>
                <c:pt idx="44">
                  <c:v>1.0827118499176889</c:v>
                </c:pt>
              </c:numCache>
            </c:numRef>
          </c:val>
        </c:ser>
        <c:marker val="1"/>
        <c:axId val="97175040"/>
        <c:axId val="97176576"/>
      </c:lineChart>
      <c:catAx>
        <c:axId val="97175040"/>
        <c:scaling>
          <c:orientation val="minMax"/>
        </c:scaling>
        <c:axPos val="b"/>
        <c:numFmt formatCode="0" sourceLinked="0"/>
        <c:majorTickMark val="none"/>
        <c:tickLblPos val="nextTo"/>
        <c:txPr>
          <a:bodyPr rot="-5400000" vert="horz"/>
          <a:lstStyle/>
          <a:p>
            <a:pPr>
              <a:defRPr/>
            </a:pPr>
            <a:endParaRPr lang="da-DK"/>
          </a:p>
        </c:txPr>
        <c:crossAx val="97176576"/>
        <c:crosses val="autoZero"/>
        <c:auto val="1"/>
        <c:lblAlgn val="ctr"/>
        <c:lblOffset val="100"/>
        <c:tickLblSkip val="1"/>
      </c:catAx>
      <c:valAx>
        <c:axId val="97176576"/>
        <c:scaling>
          <c:orientation val="minMax"/>
          <c:max val="2.25"/>
          <c:min val="0.5"/>
        </c:scaling>
        <c:axPos val="l"/>
        <c:title>
          <c:tx>
            <c:rich>
              <a:bodyPr rot="-5400000" vert="horz"/>
              <a:lstStyle/>
              <a:p>
                <a:pPr>
                  <a:defRPr/>
                </a:pPr>
                <a:r>
                  <a:rPr lang="en-US"/>
                  <a:t>Commodity price index (2006:M1 = 1)</a:t>
                </a:r>
              </a:p>
            </c:rich>
          </c:tx>
        </c:title>
        <c:numFmt formatCode="0.0" sourceLinked="0"/>
        <c:tickLblPos val="nextTo"/>
        <c:crossAx val="97175040"/>
        <c:crosses val="autoZero"/>
        <c:crossBetween val="between"/>
        <c:majorUnit val="0.5"/>
      </c:valAx>
    </c:plotArea>
    <c:legend>
      <c:legendPos val="r"/>
      <c:layout>
        <c:manualLayout>
          <c:xMode val="edge"/>
          <c:yMode val="edge"/>
          <c:x val="0.14376377952755906"/>
          <c:y val="5.4403980752407204E-2"/>
          <c:w val="0.35345844269466864"/>
          <c:h val="0.20137722368037328"/>
        </c:manualLayout>
      </c:layout>
    </c:legend>
    <c:plotVisOnly val="1"/>
  </c:chart>
  <c:spPr>
    <a:ln>
      <a:noFill/>
    </a:ln>
  </c:spPr>
  <c:txPr>
    <a:bodyPr/>
    <a:lstStyle/>
    <a:p>
      <a:pPr>
        <a:defRPr b="0"/>
      </a:pPr>
      <a:endParaRPr lang="da-DK"/>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da-DK"/>
  <c:chart>
    <c:plotArea>
      <c:layout>
        <c:manualLayout>
          <c:layoutTarget val="inner"/>
          <c:xMode val="edge"/>
          <c:yMode val="edge"/>
          <c:x val="0.1229823054443084"/>
          <c:y val="4.9803508519104853E-2"/>
          <c:w val="0.70638206953474836"/>
          <c:h val="0.80606445267295668"/>
        </c:manualLayout>
      </c:layout>
      <c:lineChart>
        <c:grouping val="standard"/>
        <c:ser>
          <c:idx val="0"/>
          <c:order val="0"/>
          <c:tx>
            <c:strRef>
              <c:f>James!$C$123</c:f>
              <c:strCache>
                <c:ptCount val="1"/>
                <c:pt idx="0">
                  <c:v>base</c:v>
                </c:pt>
              </c:strCache>
            </c:strRef>
          </c:tx>
          <c:spPr>
            <a:ln w="12700">
              <a:solidFill>
                <a:sysClr val="windowText" lastClr="000000"/>
              </a:solidFill>
            </a:ln>
          </c:spPr>
          <c:marker>
            <c:symbol val="none"/>
          </c:marker>
          <c:cat>
            <c:strRef>
              <c:f>James!$B$124:$B$130</c:f>
              <c:strCache>
                <c:ptCount val="7"/>
                <c:pt idx="0">
                  <c:v>2007:S1</c:v>
                </c:pt>
                <c:pt idx="1">
                  <c:v>08:S2</c:v>
                </c:pt>
                <c:pt idx="2">
                  <c:v>08:S2</c:v>
                </c:pt>
                <c:pt idx="3">
                  <c:v>09:S1</c:v>
                </c:pt>
                <c:pt idx="4">
                  <c:v>09:S2</c:v>
                </c:pt>
                <c:pt idx="5">
                  <c:v>10:S1</c:v>
                </c:pt>
                <c:pt idx="6">
                  <c:v>10:S2</c:v>
                </c:pt>
              </c:strCache>
            </c:strRef>
          </c:cat>
          <c:val>
            <c:numRef>
              <c:f>James!$C$124:$C$130</c:f>
              <c:numCache>
                <c:formatCode>0.00</c:formatCode>
                <c:ptCount val="7"/>
                <c:pt idx="0">
                  <c:v>47.281571277986245</c:v>
                </c:pt>
                <c:pt idx="1">
                  <c:v>46.553383484655988</c:v>
                </c:pt>
                <c:pt idx="2">
                  <c:v>45.887363132968076</c:v>
                </c:pt>
                <c:pt idx="3">
                  <c:v>45.383874239381264</c:v>
                </c:pt>
                <c:pt idx="4">
                  <c:v>44.744726314808872</c:v>
                </c:pt>
                <c:pt idx="5">
                  <c:v>43.857654915654713</c:v>
                </c:pt>
                <c:pt idx="6">
                  <c:v>43.404811807019144</c:v>
                </c:pt>
              </c:numCache>
            </c:numRef>
          </c:val>
        </c:ser>
        <c:ser>
          <c:idx val="1"/>
          <c:order val="1"/>
          <c:tx>
            <c:strRef>
              <c:f>James!$D$123</c:f>
              <c:strCache>
                <c:ptCount val="1"/>
                <c:pt idx="0">
                  <c:v>fdcrisis</c:v>
                </c:pt>
              </c:strCache>
            </c:strRef>
          </c:tx>
          <c:spPr>
            <a:ln w="12700">
              <a:solidFill>
                <a:sysClr val="windowText" lastClr="000000"/>
              </a:solidFill>
              <a:prstDash val="sysDash"/>
            </a:ln>
          </c:spPr>
          <c:marker>
            <c:symbol val="none"/>
          </c:marker>
          <c:cat>
            <c:strRef>
              <c:f>James!$B$124:$B$130</c:f>
              <c:strCache>
                <c:ptCount val="7"/>
                <c:pt idx="0">
                  <c:v>2007:S1</c:v>
                </c:pt>
                <c:pt idx="1">
                  <c:v>08:S2</c:v>
                </c:pt>
                <c:pt idx="2">
                  <c:v>08:S2</c:v>
                </c:pt>
                <c:pt idx="3">
                  <c:v>09:S1</c:v>
                </c:pt>
                <c:pt idx="4">
                  <c:v>09:S2</c:v>
                </c:pt>
                <c:pt idx="5">
                  <c:v>10:S1</c:v>
                </c:pt>
                <c:pt idx="6">
                  <c:v>10:S2</c:v>
                </c:pt>
              </c:strCache>
            </c:strRef>
          </c:cat>
          <c:val>
            <c:numRef>
              <c:f>James!$D$124:$D$130</c:f>
              <c:numCache>
                <c:formatCode>0.00</c:formatCode>
                <c:ptCount val="7"/>
                <c:pt idx="0">
                  <c:v>47.281571277986245</c:v>
                </c:pt>
                <c:pt idx="1">
                  <c:v>46.51438583544347</c:v>
                </c:pt>
                <c:pt idx="2">
                  <c:v>42.271571001329953</c:v>
                </c:pt>
                <c:pt idx="3">
                  <c:v>41.558979314393937</c:v>
                </c:pt>
                <c:pt idx="4">
                  <c:v>40.972797531939939</c:v>
                </c:pt>
                <c:pt idx="5">
                  <c:v>40.173121018812864</c:v>
                </c:pt>
                <c:pt idx="6">
                  <c:v>39.914696522223437</c:v>
                </c:pt>
              </c:numCache>
            </c:numRef>
          </c:val>
        </c:ser>
        <c:ser>
          <c:idx val="2"/>
          <c:order val="2"/>
          <c:tx>
            <c:strRef>
              <c:f>James!$E$123</c:f>
              <c:strCache>
                <c:ptCount val="1"/>
                <c:pt idx="0">
                  <c:v>fcprice</c:v>
                </c:pt>
              </c:strCache>
            </c:strRef>
          </c:tx>
          <c:spPr>
            <a:ln w="12700">
              <a:solidFill>
                <a:sysClr val="windowText" lastClr="000000"/>
              </a:solidFill>
              <a:prstDash val="lgDash"/>
            </a:ln>
          </c:spPr>
          <c:marker>
            <c:symbol val="none"/>
          </c:marker>
          <c:cat>
            <c:strRef>
              <c:f>James!$B$124:$B$130</c:f>
              <c:strCache>
                <c:ptCount val="7"/>
                <c:pt idx="0">
                  <c:v>2007:S1</c:v>
                </c:pt>
                <c:pt idx="1">
                  <c:v>08:S2</c:v>
                </c:pt>
                <c:pt idx="2">
                  <c:v>08:S2</c:v>
                </c:pt>
                <c:pt idx="3">
                  <c:v>09:S1</c:v>
                </c:pt>
                <c:pt idx="4">
                  <c:v>09:S2</c:v>
                </c:pt>
                <c:pt idx="5">
                  <c:v>10:S1</c:v>
                </c:pt>
                <c:pt idx="6">
                  <c:v>10:S2</c:v>
                </c:pt>
              </c:strCache>
            </c:strRef>
          </c:cat>
          <c:val>
            <c:numRef>
              <c:f>James!$E$124:$E$130</c:f>
              <c:numCache>
                <c:formatCode>General</c:formatCode>
                <c:ptCount val="7"/>
                <c:pt idx="2" formatCode="0.00">
                  <c:v>42.271571001329953</c:v>
                </c:pt>
                <c:pt idx="3" formatCode="0.00">
                  <c:v>41.091375936615869</c:v>
                </c:pt>
                <c:pt idx="4" formatCode="0.00">
                  <c:v>41.96351508562303</c:v>
                </c:pt>
                <c:pt idx="5" formatCode="0.00">
                  <c:v>41.265735833027065</c:v>
                </c:pt>
                <c:pt idx="6" formatCode="0.00">
                  <c:v>40.843410806304696</c:v>
                </c:pt>
              </c:numCache>
            </c:numRef>
          </c:val>
        </c:ser>
        <c:ser>
          <c:idx val="3"/>
          <c:order val="3"/>
          <c:tx>
            <c:strRef>
              <c:f>James!$F$123</c:f>
              <c:strCache>
                <c:ptCount val="1"/>
                <c:pt idx="0">
                  <c:v>fcfdi</c:v>
                </c:pt>
              </c:strCache>
            </c:strRef>
          </c:tx>
          <c:spPr>
            <a:ln w="12700">
              <a:solidFill>
                <a:sysClr val="windowText" lastClr="000000"/>
              </a:solidFill>
              <a:prstDash val="lgDash"/>
            </a:ln>
          </c:spPr>
          <c:marker>
            <c:symbol val="none"/>
          </c:marker>
          <c:cat>
            <c:strRef>
              <c:f>James!$B$124:$B$130</c:f>
              <c:strCache>
                <c:ptCount val="7"/>
                <c:pt idx="0">
                  <c:v>2007:S1</c:v>
                </c:pt>
                <c:pt idx="1">
                  <c:v>08:S2</c:v>
                </c:pt>
                <c:pt idx="2">
                  <c:v>08:S2</c:v>
                </c:pt>
                <c:pt idx="3">
                  <c:v>09:S1</c:v>
                </c:pt>
                <c:pt idx="4">
                  <c:v>09:S2</c:v>
                </c:pt>
                <c:pt idx="5">
                  <c:v>10:S1</c:v>
                </c:pt>
                <c:pt idx="6">
                  <c:v>10:S2</c:v>
                </c:pt>
              </c:strCache>
            </c:strRef>
          </c:cat>
          <c:val>
            <c:numRef>
              <c:f>James!$F$124:$F$130</c:f>
              <c:numCache>
                <c:formatCode>General</c:formatCode>
                <c:ptCount val="7"/>
                <c:pt idx="2" formatCode="0.00">
                  <c:v>42.271571001329953</c:v>
                </c:pt>
                <c:pt idx="3" formatCode="0.00">
                  <c:v>42.700823876083064</c:v>
                </c:pt>
                <c:pt idx="4" formatCode="0.00">
                  <c:v>43.992272600118994</c:v>
                </c:pt>
                <c:pt idx="5" formatCode="0.00">
                  <c:v>43.406198405179573</c:v>
                </c:pt>
                <c:pt idx="6" formatCode="0.00">
                  <c:v>42.923577720666394</c:v>
                </c:pt>
              </c:numCache>
            </c:numRef>
          </c:val>
        </c:ser>
        <c:ser>
          <c:idx val="4"/>
          <c:order val="4"/>
          <c:tx>
            <c:strRef>
              <c:f>James!$G$123</c:f>
              <c:strCache>
                <c:ptCount val="1"/>
                <c:pt idx="0">
                  <c:v>fcremit</c:v>
                </c:pt>
              </c:strCache>
            </c:strRef>
          </c:tx>
          <c:spPr>
            <a:ln w="12700">
              <a:solidFill>
                <a:sysClr val="windowText" lastClr="000000"/>
              </a:solidFill>
              <a:prstDash val="lgDash"/>
            </a:ln>
          </c:spPr>
          <c:marker>
            <c:symbol val="none"/>
          </c:marker>
          <c:cat>
            <c:strRef>
              <c:f>James!$B$124:$B$130</c:f>
              <c:strCache>
                <c:ptCount val="7"/>
                <c:pt idx="0">
                  <c:v>2007:S1</c:v>
                </c:pt>
                <c:pt idx="1">
                  <c:v>08:S2</c:v>
                </c:pt>
                <c:pt idx="2">
                  <c:v>08:S2</c:v>
                </c:pt>
                <c:pt idx="3">
                  <c:v>09:S1</c:v>
                </c:pt>
                <c:pt idx="4">
                  <c:v>09:S2</c:v>
                </c:pt>
                <c:pt idx="5">
                  <c:v>10:S1</c:v>
                </c:pt>
                <c:pt idx="6">
                  <c:v>10:S2</c:v>
                </c:pt>
              </c:strCache>
            </c:strRef>
          </c:cat>
          <c:val>
            <c:numRef>
              <c:f>James!$G$124:$G$130</c:f>
              <c:numCache>
                <c:formatCode>General</c:formatCode>
                <c:ptCount val="7"/>
                <c:pt idx="2" formatCode="0.00">
                  <c:v>42.271571001329953</c:v>
                </c:pt>
                <c:pt idx="3" formatCode="0.00">
                  <c:v>42.820419054788054</c:v>
                </c:pt>
                <c:pt idx="4" formatCode="0.00">
                  <c:v>44.287834952852343</c:v>
                </c:pt>
                <c:pt idx="5" formatCode="0.00">
                  <c:v>43.778134851731551</c:v>
                </c:pt>
                <c:pt idx="6" formatCode="0.00">
                  <c:v>43.219196523591528</c:v>
                </c:pt>
              </c:numCache>
            </c:numRef>
          </c:val>
        </c:ser>
        <c:ser>
          <c:idx val="5"/>
          <c:order val="5"/>
          <c:tx>
            <c:strRef>
              <c:f>James!$H$123</c:f>
              <c:strCache>
                <c:ptCount val="1"/>
                <c:pt idx="0">
                  <c:v>fcstim</c:v>
                </c:pt>
              </c:strCache>
            </c:strRef>
          </c:tx>
          <c:spPr>
            <a:ln w="12700">
              <a:solidFill>
                <a:sysClr val="windowText" lastClr="000000"/>
              </a:solidFill>
              <a:prstDash val="lgDash"/>
            </a:ln>
          </c:spPr>
          <c:marker>
            <c:symbol val="none"/>
          </c:marker>
          <c:cat>
            <c:strRef>
              <c:f>James!$B$124:$B$130</c:f>
              <c:strCache>
                <c:ptCount val="7"/>
                <c:pt idx="0">
                  <c:v>2007:S1</c:v>
                </c:pt>
                <c:pt idx="1">
                  <c:v>08:S2</c:v>
                </c:pt>
                <c:pt idx="2">
                  <c:v>08:S2</c:v>
                </c:pt>
                <c:pt idx="3">
                  <c:v>09:S1</c:v>
                </c:pt>
                <c:pt idx="4">
                  <c:v>09:S2</c:v>
                </c:pt>
                <c:pt idx="5">
                  <c:v>10:S1</c:v>
                </c:pt>
                <c:pt idx="6">
                  <c:v>10:S2</c:v>
                </c:pt>
              </c:strCache>
            </c:strRef>
          </c:cat>
          <c:val>
            <c:numRef>
              <c:f>James!$H$124:$H$130</c:f>
              <c:numCache>
                <c:formatCode>General</c:formatCode>
                <c:ptCount val="7"/>
                <c:pt idx="2" formatCode="0.00">
                  <c:v>42.271571001329953</c:v>
                </c:pt>
                <c:pt idx="3" formatCode="0.00">
                  <c:v>42.171964281591244</c:v>
                </c:pt>
                <c:pt idx="4" formatCode="0.00">
                  <c:v>43.320461797453625</c:v>
                </c:pt>
                <c:pt idx="5" formatCode="0.00">
                  <c:v>42.65808197488812</c:v>
                </c:pt>
                <c:pt idx="6" formatCode="0.00">
                  <c:v>42.090957212811411</c:v>
                </c:pt>
              </c:numCache>
            </c:numRef>
          </c:val>
        </c:ser>
        <c:marker val="1"/>
        <c:axId val="97216768"/>
        <c:axId val="97234944"/>
      </c:lineChart>
      <c:catAx>
        <c:axId val="97216768"/>
        <c:scaling>
          <c:orientation val="minMax"/>
        </c:scaling>
        <c:axPos val="b"/>
        <c:tickLblPos val="nextTo"/>
        <c:txPr>
          <a:bodyPr rot="0" vert="horz"/>
          <a:lstStyle/>
          <a:p>
            <a:pPr>
              <a:defRPr/>
            </a:pPr>
            <a:endParaRPr lang="da-DK"/>
          </a:p>
        </c:txPr>
        <c:crossAx val="97234944"/>
        <c:crosses val="autoZero"/>
        <c:auto val="1"/>
        <c:lblAlgn val="ctr"/>
        <c:lblOffset val="100"/>
      </c:catAx>
      <c:valAx>
        <c:axId val="97234944"/>
        <c:scaling>
          <c:orientation val="minMax"/>
          <c:min val="39"/>
        </c:scaling>
        <c:axPos val="l"/>
        <c:title>
          <c:tx>
            <c:rich>
              <a:bodyPr rot="-5400000" vert="horz"/>
              <a:lstStyle/>
              <a:p>
                <a:pPr>
                  <a:defRPr/>
                </a:pPr>
                <a:r>
                  <a:rPr lang="en-US"/>
                  <a:t>National poverty headcount rate (%)</a:t>
                </a:r>
              </a:p>
            </c:rich>
          </c:tx>
          <c:layout>
            <c:manualLayout>
              <c:xMode val="edge"/>
              <c:yMode val="edge"/>
              <c:x val="1.3780806613399529E-2"/>
              <c:y val="0.18747893977253563"/>
            </c:manualLayout>
          </c:layout>
        </c:title>
        <c:numFmt formatCode="0" sourceLinked="0"/>
        <c:tickLblPos val="nextTo"/>
        <c:crossAx val="97216768"/>
        <c:crosses val="autoZero"/>
        <c:crossBetween val="between"/>
      </c:valAx>
    </c:plotArea>
    <c:plotVisOnly val="1"/>
  </c:chart>
  <c:spPr>
    <a:ln>
      <a:noFill/>
    </a:ln>
  </c:spPr>
  <c:txPr>
    <a:bodyPr/>
    <a:lstStyle/>
    <a:p>
      <a:pPr>
        <a:defRPr b="0"/>
      </a:pPr>
      <a:endParaRPr lang="da-DK"/>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0.79536</cdr:x>
      <cdr:y>0.41024</cdr:y>
    </cdr:from>
    <cdr:to>
      <cdr:x>1</cdr:x>
      <cdr:y>0.49434</cdr:y>
    </cdr:to>
    <cdr:sp macro="" textlink="">
      <cdr:nvSpPr>
        <cdr:cNvPr id="2" name="TextBox 1"/>
        <cdr:cNvSpPr txBox="1"/>
      </cdr:nvSpPr>
      <cdr:spPr>
        <a:xfrm xmlns:a="http://schemas.openxmlformats.org/drawingml/2006/main">
          <a:off x="4024089" y="1269719"/>
          <a:ext cx="1035367" cy="26029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a:t>Baseline (1)</a:t>
          </a:r>
        </a:p>
      </cdr:txBody>
    </cdr:sp>
  </cdr:relSizeAnchor>
  <cdr:relSizeAnchor xmlns:cdr="http://schemas.openxmlformats.org/drawingml/2006/chartDrawing">
    <cdr:from>
      <cdr:x>0.79536</cdr:x>
      <cdr:y>0.49734</cdr:y>
    </cdr:from>
    <cdr:to>
      <cdr:x>1</cdr:x>
      <cdr:y>0.58145</cdr:y>
    </cdr:to>
    <cdr:sp macro="" textlink="">
      <cdr:nvSpPr>
        <cdr:cNvPr id="3" name="TextBox 1"/>
        <cdr:cNvSpPr txBox="1"/>
      </cdr:nvSpPr>
      <cdr:spPr>
        <a:xfrm xmlns:a="http://schemas.openxmlformats.org/drawingml/2006/main">
          <a:off x="4024089" y="1539300"/>
          <a:ext cx="1035367" cy="26032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000"/>
            <a:t>FDI outflows (4)</a:t>
          </a:r>
        </a:p>
      </cdr:txBody>
    </cdr:sp>
  </cdr:relSizeAnchor>
  <cdr:relSizeAnchor xmlns:cdr="http://schemas.openxmlformats.org/drawingml/2006/chartDrawing">
    <cdr:from>
      <cdr:x>0.79536</cdr:x>
      <cdr:y>0.7376</cdr:y>
    </cdr:from>
    <cdr:to>
      <cdr:x>1</cdr:x>
      <cdr:y>0.8217</cdr:y>
    </cdr:to>
    <cdr:sp macro="" textlink="">
      <cdr:nvSpPr>
        <cdr:cNvPr id="4" name="TextBox 1"/>
        <cdr:cNvSpPr txBox="1"/>
      </cdr:nvSpPr>
      <cdr:spPr>
        <a:xfrm xmlns:a="http://schemas.openxmlformats.org/drawingml/2006/main">
          <a:off x="4147914" y="2282920"/>
          <a:ext cx="1035367" cy="26029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000"/>
            <a:t>Food/fuel</a:t>
          </a:r>
          <a:r>
            <a:rPr lang="en-US" sz="1000" baseline="0"/>
            <a:t>(2)</a:t>
          </a:r>
          <a:endParaRPr lang="en-US" sz="1000"/>
        </a:p>
      </cdr:txBody>
    </cdr:sp>
  </cdr:relSizeAnchor>
  <cdr:relSizeAnchor xmlns:cdr="http://schemas.openxmlformats.org/drawingml/2006/chartDrawing">
    <cdr:from>
      <cdr:x>0.79536</cdr:x>
      <cdr:y>0.66551</cdr:y>
    </cdr:from>
    <cdr:to>
      <cdr:x>1</cdr:x>
      <cdr:y>0.74962</cdr:y>
    </cdr:to>
    <cdr:sp macro="" textlink="">
      <cdr:nvSpPr>
        <cdr:cNvPr id="5" name="TextBox 1"/>
        <cdr:cNvSpPr txBox="1"/>
      </cdr:nvSpPr>
      <cdr:spPr>
        <a:xfrm xmlns:a="http://schemas.openxmlformats.org/drawingml/2006/main">
          <a:off x="4100289" y="2059805"/>
          <a:ext cx="1035367" cy="26032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000"/>
            <a:t>2009 p</a:t>
          </a:r>
          <a:r>
            <a:rPr lang="en-US" sz="1000" baseline="0"/>
            <a:t>rices  (3)</a:t>
          </a:r>
          <a:endParaRPr lang="en-US" sz="1000"/>
        </a:p>
      </cdr:txBody>
    </cdr:sp>
  </cdr:relSizeAnchor>
  <cdr:relSizeAnchor xmlns:cdr="http://schemas.openxmlformats.org/drawingml/2006/chartDrawing">
    <cdr:from>
      <cdr:x>0.79536</cdr:x>
      <cdr:y>0.4528</cdr:y>
    </cdr:from>
    <cdr:to>
      <cdr:x>1</cdr:x>
      <cdr:y>0.53691</cdr:y>
    </cdr:to>
    <cdr:sp macro="" textlink="">
      <cdr:nvSpPr>
        <cdr:cNvPr id="6" name="TextBox 1"/>
        <cdr:cNvSpPr txBox="1"/>
      </cdr:nvSpPr>
      <cdr:spPr>
        <a:xfrm xmlns:a="http://schemas.openxmlformats.org/drawingml/2006/main">
          <a:off x="4024089" y="1401445"/>
          <a:ext cx="1035367" cy="26032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000"/>
            <a:t>Remittances (5)</a:t>
          </a:r>
        </a:p>
      </cdr:txBody>
    </cdr:sp>
  </cdr:relSizeAnchor>
  <cdr:relSizeAnchor xmlns:cdr="http://schemas.openxmlformats.org/drawingml/2006/chartDrawing">
    <cdr:from>
      <cdr:x>0.79536</cdr:x>
      <cdr:y>0.55135</cdr:y>
    </cdr:from>
    <cdr:to>
      <cdr:x>1</cdr:x>
      <cdr:y>0.63546</cdr:y>
    </cdr:to>
    <cdr:sp macro="" textlink="">
      <cdr:nvSpPr>
        <cdr:cNvPr id="7" name="TextBox 1"/>
        <cdr:cNvSpPr txBox="1"/>
      </cdr:nvSpPr>
      <cdr:spPr>
        <a:xfrm xmlns:a="http://schemas.openxmlformats.org/drawingml/2006/main">
          <a:off x="4033614" y="1706457"/>
          <a:ext cx="1035367" cy="26032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000"/>
            <a:t>Stimulus (6)</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36D32-2C1D-472C-8A91-E99CF8AB8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25</Pages>
  <Words>8265</Words>
  <Characters>50419</Characters>
  <Application>Microsoft Office Word</Application>
  <DocSecurity>0</DocSecurity>
  <Lines>420</Lines>
  <Paragraphs>117</Paragraphs>
  <ScaleCrop>false</ScaleCrop>
  <HeadingPairs>
    <vt:vector size="2" baseType="variant">
      <vt:variant>
        <vt:lpstr>Title</vt:lpstr>
      </vt:variant>
      <vt:variant>
        <vt:i4>1</vt:i4>
      </vt:variant>
    </vt:vector>
  </HeadingPairs>
  <TitlesOfParts>
    <vt:vector size="1" baseType="lpstr">
      <vt:lpstr/>
    </vt:vector>
  </TitlesOfParts>
  <Company>IFPRI</Company>
  <LinksUpToDate>false</LinksUpToDate>
  <CharactersWithSpaces>58567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jthurlow</dc:creator>
  <cp:lastModifiedBy>okoftarp</cp:lastModifiedBy>
  <cp:revision>3</cp:revision>
  <cp:lastPrinted>2009-12-15T16:43:00Z</cp:lastPrinted>
  <dcterms:created xsi:type="dcterms:W3CDTF">2010-01-03T18:51:00Z</dcterms:created>
  <dcterms:modified xsi:type="dcterms:W3CDTF">2010-01-03T19:09:00Z</dcterms:modified>
</cp:coreProperties>
</file>